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eastAsia="zh-CN"/>
        </w:rPr>
      </w:pPr>
      <w:r>
        <w:rPr>
          <w:rFonts w:hint="eastAsia" w:ascii="宋体" w:hAnsi="宋体"/>
          <w:b/>
          <w:sz w:val="52"/>
          <w:szCs w:val="52"/>
          <w:lang w:eastAsia="zh-CN"/>
        </w:rPr>
        <w:t>桓仁满族自治县动物卫生监督</w:t>
      </w:r>
    </w:p>
    <w:p>
      <w:pPr>
        <w:spacing w:line="540" w:lineRule="exact"/>
        <w:jc w:val="center"/>
        <w:rPr>
          <w:rFonts w:hint="eastAsia" w:ascii="宋体" w:hAnsi="宋体"/>
          <w:b/>
          <w:sz w:val="52"/>
          <w:szCs w:val="52"/>
        </w:rPr>
      </w:pPr>
      <w:r>
        <w:rPr>
          <w:rFonts w:hint="eastAsia" w:ascii="宋体" w:hAnsi="宋体"/>
          <w:b/>
          <w:sz w:val="52"/>
          <w:szCs w:val="52"/>
          <w:lang w:eastAsia="zh-CN"/>
        </w:rPr>
        <w:t>管理局</w:t>
      </w:r>
      <w:r>
        <w:rPr>
          <w:rFonts w:hint="eastAsia" w:ascii="宋体" w:hAnsi="宋体"/>
          <w:b/>
          <w:sz w:val="52"/>
          <w:szCs w:val="52"/>
        </w:rPr>
        <w:t>2017年度部门决算</w:t>
      </w:r>
    </w:p>
    <w:p>
      <w:pPr>
        <w:spacing w:line="540" w:lineRule="exact"/>
        <w:jc w:val="both"/>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桓仁县</w:t>
      </w:r>
      <w:r>
        <w:rPr>
          <w:rFonts w:hint="eastAsia" w:ascii="黑体" w:hAnsi="黑体" w:eastAsia="黑体"/>
          <w:sz w:val="32"/>
          <w:szCs w:val="32"/>
          <w:lang w:eastAsia="zh-CN"/>
        </w:rPr>
        <w:t>动监局</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第二部分    桓仁县</w:t>
      </w:r>
      <w:r>
        <w:rPr>
          <w:rFonts w:hint="eastAsia" w:ascii="黑体" w:hAnsi="黑体" w:eastAsia="黑体"/>
          <w:sz w:val="32"/>
          <w:szCs w:val="32"/>
          <w:lang w:eastAsia="zh-CN"/>
        </w:rPr>
        <w:t>动监局</w:t>
      </w:r>
      <w:r>
        <w:rPr>
          <w:rFonts w:hint="eastAsia" w:ascii="黑体" w:hAnsi="黑体" w:eastAsia="黑体"/>
          <w:sz w:val="32"/>
          <w:szCs w:val="32"/>
        </w:rPr>
        <w:t>2017年度部门决算报表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2017年度收入支出决算总表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二、2017</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三、2017</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2017年度财政拨款收入支出决算表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201</w:t>
      </w:r>
      <w:r>
        <w:rPr>
          <w:rFonts w:hint="eastAsia" w:ascii="仿宋_GB2312" w:eastAsia="仿宋_GB2312"/>
          <w:sz w:val="32"/>
          <w:szCs w:val="32"/>
        </w:rPr>
        <w:t>7</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2017年度财政专户管理资金收入支出决算表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201</w:t>
      </w:r>
      <w:r>
        <w:rPr>
          <w:rFonts w:hint="eastAsia" w:ascii="仿宋_GB2312" w:eastAsia="仿宋_GB2312"/>
          <w:sz w:val="32"/>
          <w:szCs w:val="32"/>
        </w:rPr>
        <w:t>7</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第三部分    桓仁县</w:t>
      </w:r>
      <w:r>
        <w:rPr>
          <w:rFonts w:hint="eastAsia" w:ascii="黑体" w:hAnsi="黑体" w:eastAsia="黑体"/>
          <w:sz w:val="32"/>
          <w:szCs w:val="32"/>
          <w:lang w:eastAsia="zh-CN"/>
        </w:rPr>
        <w:t>动监局</w:t>
      </w:r>
      <w:r>
        <w:rPr>
          <w:rFonts w:hint="eastAsia" w:ascii="黑体" w:hAnsi="黑体" w:eastAsia="黑体"/>
          <w:sz w:val="32"/>
          <w:szCs w:val="32"/>
        </w:rPr>
        <w:t>2017年度部门决算情况说明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第一部分 桓仁县</w:t>
      </w:r>
      <w:r>
        <w:rPr>
          <w:rFonts w:hint="eastAsia" w:ascii="宋体" w:hAnsi="宋体"/>
          <w:b/>
          <w:sz w:val="36"/>
          <w:szCs w:val="36"/>
          <w:lang w:eastAsia="zh-CN"/>
        </w:rPr>
        <w:t>动监局</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numPr>
          <w:ilvl w:val="0"/>
          <w:numId w:val="0"/>
        </w:numPr>
        <w:ind w:left="840" w:leftChars="0"/>
        <w:jc w:val="left"/>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主要职责</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(一)贯彻执行动物卫生监督管理局工作方针、政策及法律、法规、组织实施动物卫生行政执法工作。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(二)负责制定辖区内动物疫病的防治规划、组织实施动物疫病预防、动物及动物产品检疫和动物疫病的监控。</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(三)负责动物防疫监督，实施辖区内重大动物疫病的净化。组织对动物疫情的扑灭工作。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(四)组织实施兽医人员执业标准、动物疫病诊疗质量标准和服务规范，依法管理从业兽医人员和动物诊疗机构。</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(五)负责兽药、饲料的生产、经营使用情况的监督管理。</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(六)组织实施无公害畜产品、产地、产品认证。</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(七)负责畜禽质量卫生监督管理和种畜禽繁育体系建设工作。</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(八)实施动物卫生科技发展规划和人才培养规划。</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(九)贯彻实施有关畜牧业和草业保护建设方针、政策、法律、法规、制定畜牧业发展和草业建设规划和计划。</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(十)承办上级动物卫生监督管理机构和县政府交办的其它事项。</w:t>
      </w:r>
    </w:p>
    <w:p>
      <w:pPr>
        <w:widowControl w:val="0"/>
        <w:wordWrap/>
        <w:adjustRightInd/>
        <w:snapToGrid/>
        <w:spacing w:before="0" w:after="0"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(十一)负责畜产品质量安全监督管理工作。</w:t>
      </w:r>
    </w:p>
    <w:p>
      <w:pPr>
        <w:ind w:firstLine="640" w:firstLineChars="200"/>
        <w:jc w:val="left"/>
        <w:rPr>
          <w:rFonts w:hint="eastAsia" w:ascii="黑体" w:eastAsia="黑体"/>
          <w:sz w:val="32"/>
          <w:szCs w:val="32"/>
        </w:rPr>
      </w:pPr>
      <w:r>
        <w:rPr>
          <w:rFonts w:hint="eastAsia" w:ascii="黑体" w:eastAsia="黑体"/>
          <w:sz w:val="32"/>
          <w:szCs w:val="32"/>
        </w:rPr>
        <w:t>二、部门决算单位构成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桓仁县动监局</w:t>
      </w:r>
      <w:r>
        <w:rPr>
          <w:rFonts w:hint="eastAsia" w:ascii="仿宋_GB2312" w:eastAsia="仿宋_GB2312"/>
          <w:b/>
          <w:sz w:val="32"/>
          <w:szCs w:val="32"/>
        </w:rPr>
        <w:t>201</w:t>
      </w:r>
      <w:r>
        <w:rPr>
          <w:rFonts w:hint="eastAsia" w:ascii="仿宋_GB2312" w:eastAsia="仿宋_GB2312"/>
          <w:b/>
          <w:sz w:val="32"/>
          <w:szCs w:val="32"/>
          <w:lang w:val="en-US" w:eastAsia="zh-CN"/>
        </w:rPr>
        <w:t>7</w:t>
      </w:r>
      <w:r>
        <w:rPr>
          <w:rFonts w:hint="eastAsia" w:ascii="仿宋_GB2312" w:eastAsia="仿宋_GB2312"/>
          <w:b/>
          <w:sz w:val="32"/>
          <w:szCs w:val="32"/>
        </w:rPr>
        <w:t>年部门决算编制范围的二级预算单位包括：</w:t>
      </w:r>
    </w:p>
    <w:p>
      <w:pPr>
        <w:widowControl w:val="0"/>
        <w:numPr>
          <w:ilvl w:val="0"/>
          <w:numId w:val="0"/>
        </w:numPr>
        <w:wordWrap/>
        <w:adjustRightInd w:val="0"/>
        <w:snapToGrid w:val="0"/>
        <w:spacing w:before="0" w:after="0" w:line="5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1、桓仁满族自治县动监局机关</w:t>
      </w:r>
    </w:p>
    <w:p>
      <w:pPr>
        <w:widowControl w:val="0"/>
        <w:numPr>
          <w:ilvl w:val="0"/>
          <w:numId w:val="0"/>
        </w:numPr>
        <w:wordWrap/>
        <w:adjustRightInd w:val="0"/>
        <w:snapToGrid w:val="0"/>
        <w:spacing w:before="0" w:after="0" w:line="5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2、桓仁满族自治县动物疫病预防控制中心</w:t>
      </w:r>
    </w:p>
    <w:p>
      <w:pPr>
        <w:widowControl w:val="0"/>
        <w:numPr>
          <w:ilvl w:val="0"/>
          <w:numId w:val="0"/>
        </w:numPr>
        <w:wordWrap/>
        <w:adjustRightInd w:val="0"/>
        <w:snapToGrid w:val="0"/>
        <w:spacing w:before="0" w:after="0" w:line="5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3、桓仁满族自治县动物卫生监督所</w:t>
      </w:r>
    </w:p>
    <w:p>
      <w:pPr>
        <w:widowControl w:val="0"/>
        <w:numPr>
          <w:ilvl w:val="0"/>
          <w:numId w:val="0"/>
        </w:numPr>
        <w:wordWrap/>
        <w:adjustRightInd w:val="0"/>
        <w:snapToGrid w:val="0"/>
        <w:spacing w:before="0" w:after="0" w:line="5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4、桓仁满族自治县动物检疫站</w:t>
      </w:r>
    </w:p>
    <w:p>
      <w:pPr>
        <w:widowControl w:val="0"/>
        <w:numPr>
          <w:ilvl w:val="0"/>
          <w:numId w:val="0"/>
        </w:numPr>
        <w:wordWrap/>
        <w:adjustRightInd w:val="0"/>
        <w:snapToGrid w:val="0"/>
        <w:spacing w:before="0" w:after="0" w:line="540" w:lineRule="exact"/>
        <w:ind w:right="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5、桓仁满族自治县区域动物卫生监督所</w:t>
      </w:r>
    </w:p>
    <w:p>
      <w:pPr>
        <w:spacing w:line="540" w:lineRule="exact"/>
        <w:jc w:val="both"/>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32"/>
          <w:szCs w:val="32"/>
        </w:rPr>
      </w:pPr>
      <w:r>
        <w:rPr>
          <w:rFonts w:hint="eastAsia" w:ascii="宋体" w:hAnsi="宋体"/>
          <w:b/>
          <w:sz w:val="36"/>
          <w:szCs w:val="36"/>
        </w:rPr>
        <w:t>第二部分 桓仁县</w:t>
      </w:r>
      <w:r>
        <w:rPr>
          <w:rFonts w:hint="eastAsia" w:ascii="宋体" w:hAnsi="宋体"/>
          <w:b/>
          <w:sz w:val="36"/>
          <w:szCs w:val="36"/>
          <w:lang w:eastAsia="zh-CN"/>
        </w:rPr>
        <w:t>动监局</w:t>
      </w:r>
      <w:r>
        <w:rPr>
          <w:rFonts w:hint="eastAsia" w:ascii="宋体" w:hAnsi="宋体"/>
          <w:b/>
          <w:sz w:val="36"/>
          <w:szCs w:val="36"/>
        </w:rPr>
        <w:t>2017年度部门决算公开报表</w:t>
      </w:r>
    </w:p>
    <w:p/>
    <w:p/>
    <w:p/>
    <w:p/>
    <w:p/>
    <w:p>
      <w:pPr>
        <w:jc w:val="center"/>
        <w:rPr>
          <w:rFonts w:hint="eastAsia" w:eastAsia="宋体"/>
          <w:lang w:eastAsia="zh-CN"/>
        </w:rPr>
      </w:pPr>
      <w:r>
        <w:rPr>
          <w:rFonts w:hint="eastAsia" w:ascii="Times New Roman" w:hAnsi="Times New Roman" w:eastAsia="宋体" w:cs="Times New Roman"/>
          <w:kern w:val="2"/>
          <w:sz w:val="21"/>
          <w:szCs w:val="24"/>
          <w:lang w:val="en-US" w:eastAsia="zh-CN" w:bidi="ar-SA"/>
        </w:rPr>
        <w:object>
          <v:shape id="_x0000_i1025" o:spt="75" type="#_x0000_t75" style="height:66pt;width:72.75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jc w:val="center"/>
        <w:rPr>
          <w:rFonts w:hint="eastAsia" w:eastAsia="宋体"/>
          <w:lang w:eastAsia="zh-CN"/>
        </w:rPr>
      </w:pPr>
    </w:p>
    <w:p>
      <w:pPr>
        <w:spacing w:line="540" w:lineRule="exact"/>
        <w:jc w:val="center"/>
        <w:rPr>
          <w:rFonts w:hint="eastAsia" w:ascii="宋体" w:hAnsi="宋体"/>
          <w:b/>
          <w:sz w:val="36"/>
          <w:szCs w:val="36"/>
        </w:rPr>
      </w:pPr>
      <w:r>
        <w:rPr>
          <w:rFonts w:hint="eastAsia" w:ascii="宋体" w:hAnsi="宋体"/>
          <w:b/>
          <w:sz w:val="36"/>
          <w:szCs w:val="36"/>
        </w:rPr>
        <w:t>第三部分 桓仁县</w:t>
      </w:r>
      <w:r>
        <w:rPr>
          <w:rFonts w:hint="eastAsia" w:ascii="宋体" w:hAnsi="宋体"/>
          <w:b/>
          <w:sz w:val="36"/>
          <w:szCs w:val="36"/>
          <w:lang w:eastAsia="zh-CN"/>
        </w:rPr>
        <w:t>动监局</w:t>
      </w:r>
      <w:r>
        <w:rPr>
          <w:rFonts w:hint="eastAsia" w:ascii="宋体" w:hAnsi="宋体"/>
          <w:b/>
          <w:sz w:val="36"/>
          <w:szCs w:val="36"/>
        </w:rPr>
        <w:t>2017年度部门决算情况说明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1567.32</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1381.09</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1381.09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186.23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防疫员工资</w:t>
      </w:r>
      <w:r>
        <w:rPr>
          <w:rFonts w:hint="eastAsia" w:ascii="仿宋_GB2312" w:hAnsi="宋体" w:eastAsia="仿宋_GB2312"/>
          <w:sz w:val="32"/>
          <w:szCs w:val="32"/>
        </w:rPr>
        <w:t>等。</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1133.37</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489.03</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311.87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142.46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34.71</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644.33</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畜禽高效防控技术、农技推广体系建设、畜禽标准化生态建设项目</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433.96</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项目资金到账未支出</w:t>
      </w:r>
      <w:r>
        <w:rPr>
          <w:rFonts w:hint="eastAsia" w:ascii="仿宋_GB2312" w:hAnsi="宋体" w:eastAsia="仿宋_GB2312"/>
          <w:sz w:val="32"/>
          <w:szCs w:val="32"/>
        </w:rPr>
        <w:t>等原因形成的结余。</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eastAsia="仿宋_GB2312" w:cs="Times New Roman"/>
          <w:sz w:val="32"/>
          <w:szCs w:val="32"/>
          <w:highlight w:val="none"/>
          <w:lang w:val="en-US" w:eastAsia="zh-CN"/>
        </w:rPr>
        <w:t>1567.32</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，比上年减少</w:t>
      </w:r>
      <w:r>
        <w:rPr>
          <w:rFonts w:hint="eastAsia" w:eastAsia="仿宋_GB2312" w:cs="Times New Roman"/>
          <w:sz w:val="32"/>
          <w:szCs w:val="32"/>
          <w:highlight w:val="none"/>
          <w:lang w:val="en-US" w:eastAsia="zh-CN"/>
        </w:rPr>
        <w:t>2180.54</w:t>
      </w:r>
      <w:r>
        <w:rPr>
          <w:rFonts w:hint="default" w:ascii="Times New Roman" w:hAnsi="Times New Roman" w:eastAsia="仿宋_GB2312" w:cs="Times New Roman"/>
          <w:sz w:val="32"/>
          <w:szCs w:val="32"/>
          <w:highlight w:val="none"/>
          <w:lang w:val="en-US" w:eastAsia="zh-CN"/>
        </w:rPr>
        <w:t>万元。收入减少的主要因素是</w:t>
      </w:r>
      <w:r>
        <w:rPr>
          <w:rFonts w:hint="eastAsia" w:eastAsia="仿宋_GB2312" w:cs="Times New Roman"/>
          <w:sz w:val="32"/>
          <w:szCs w:val="32"/>
          <w:highlight w:val="none"/>
          <w:lang w:val="en-US" w:eastAsia="zh-CN"/>
        </w:rPr>
        <w:t>：2016年上年结转结余养殖场升级改造项目</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eastAsia="仿宋_GB2312" w:cs="Times New Roman"/>
          <w:sz w:val="32"/>
          <w:szCs w:val="32"/>
          <w:highlight w:val="none"/>
          <w:lang w:val="en-US" w:eastAsia="zh-CN"/>
        </w:rPr>
        <w:t>1133.37</w:t>
      </w:r>
      <w:r>
        <w:rPr>
          <w:rFonts w:hint="default" w:ascii="Times New Roman" w:hAnsi="Times New Roman" w:eastAsia="仿宋_GB2312" w:cs="Times New Roman"/>
          <w:sz w:val="32"/>
          <w:szCs w:val="32"/>
          <w:highlight w:val="none"/>
          <w:lang w:val="en-US" w:eastAsia="zh-CN"/>
        </w:rPr>
        <w:t>万元，比上年</w:t>
      </w:r>
      <w:r>
        <w:rPr>
          <w:rFonts w:hint="eastAsia" w:eastAsia="仿宋_GB2312" w:cs="Times New Roman"/>
          <w:sz w:val="32"/>
          <w:szCs w:val="32"/>
          <w:highlight w:val="none"/>
          <w:lang w:val="en-US" w:eastAsia="zh-CN"/>
        </w:rPr>
        <w:t>减少2428.26</w:t>
      </w:r>
      <w:r>
        <w:rPr>
          <w:rFonts w:hint="default" w:ascii="Times New Roman" w:hAnsi="Times New Roman" w:eastAsia="仿宋_GB2312" w:cs="Times New Roman"/>
          <w:sz w:val="32"/>
          <w:szCs w:val="32"/>
          <w:highlight w:val="none"/>
          <w:lang w:val="en-US" w:eastAsia="zh-CN"/>
        </w:rPr>
        <w:t>万元。</w:t>
      </w:r>
      <w:r>
        <w:rPr>
          <w:rFonts w:hint="eastAsia" w:eastAsia="仿宋_GB2312" w:cs="Times New Roman"/>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上年结转结余的养殖户升级改造、搬迁项目资金支出。</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bookmarkStart w:id="0" w:name="_GoBack"/>
      <w:bookmarkEnd w:id="0"/>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财政拨款支出决算反映桓仁县</w:t>
      </w:r>
      <w:r>
        <w:rPr>
          <w:rFonts w:hint="eastAsia" w:ascii="仿宋_GB2312" w:hAnsi="宋体" w:eastAsia="仿宋_GB2312"/>
          <w:sz w:val="32"/>
          <w:szCs w:val="32"/>
          <w:lang w:eastAsia="zh-CN"/>
        </w:rPr>
        <w:t>动监局</w:t>
      </w:r>
      <w:r>
        <w:rPr>
          <w:rFonts w:hint="eastAsia" w:ascii="仿宋_GB2312" w:hAnsi="宋体" w:eastAsia="仿宋_GB2312"/>
          <w:sz w:val="32"/>
          <w:szCs w:val="32"/>
        </w:rPr>
        <w:t>2017年整体财政拨款支出情况，既包括使用当年财政拨款发生的支出，也包括使用以前年度财政拨款结转和结余资金发生的支出。2017年度财政拨款支出</w:t>
      </w:r>
      <w:r>
        <w:rPr>
          <w:rFonts w:hint="eastAsia" w:ascii="仿宋_GB2312" w:hAnsi="宋体" w:eastAsia="仿宋_GB2312"/>
          <w:sz w:val="32"/>
          <w:szCs w:val="32"/>
          <w:lang w:val="en-US" w:eastAsia="zh-CN"/>
        </w:rPr>
        <w:t>1133.37</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489.03</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644.33</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2017年度财政拨款支出</w:t>
      </w:r>
      <w:r>
        <w:rPr>
          <w:rFonts w:hint="eastAsia" w:ascii="仿宋_GB2312" w:hAnsi="宋体" w:eastAsia="仿宋_GB2312"/>
          <w:sz w:val="32"/>
          <w:szCs w:val="32"/>
          <w:lang w:val="en-US" w:eastAsia="zh-CN"/>
        </w:rPr>
        <w:t>1133.37</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31.11</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11.85</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287.55</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775.26</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27.6</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31.11</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（1）归口管理的行政单位离退休</w:t>
      </w:r>
      <w:r>
        <w:rPr>
          <w:rFonts w:hint="eastAsia" w:ascii="仿宋_GB2312" w:hAnsi="宋体" w:eastAsia="仿宋_GB2312"/>
          <w:sz w:val="32"/>
          <w:szCs w:val="32"/>
          <w:lang w:val="en-US" w:eastAsia="zh-CN"/>
        </w:rPr>
        <w:t>15.49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退休人员退休费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14.62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3）伤残抚恤1万元，主要是公伤人员补助支出。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11.85</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2.36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医疗保险</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9.49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医疗保险</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287.55</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水体支出</w:t>
      </w:r>
      <w:r>
        <w:rPr>
          <w:rFonts w:hint="eastAsia" w:ascii="仿宋_GB2312" w:hAnsi="宋体" w:eastAsia="仿宋_GB2312"/>
          <w:sz w:val="32"/>
          <w:szCs w:val="32"/>
          <w:lang w:val="en-US" w:eastAsia="zh-CN"/>
        </w:rPr>
        <w:t>287.55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规模养殖场升级改造项目</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775.26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59.09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行政机关人员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事业运行</w:t>
      </w:r>
      <w:r>
        <w:rPr>
          <w:rFonts w:hint="eastAsia" w:ascii="仿宋_GB2312" w:hAnsi="宋体" w:eastAsia="仿宋_GB2312"/>
          <w:sz w:val="32"/>
          <w:szCs w:val="32"/>
          <w:lang w:val="en-US" w:eastAsia="zh-CN"/>
        </w:rPr>
        <w:t>359.39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事业单位人员</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科技转化与推广服务</w:t>
      </w:r>
      <w:r>
        <w:rPr>
          <w:rFonts w:hint="eastAsia" w:ascii="仿宋_GB2312" w:hAnsi="宋体" w:eastAsia="仿宋_GB2312"/>
          <w:sz w:val="32"/>
          <w:szCs w:val="32"/>
          <w:lang w:val="en-US" w:eastAsia="zh-CN"/>
        </w:rPr>
        <w:t>32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黄牛改良和中华蜂技术推广等</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病虫害控制</w:t>
      </w:r>
      <w:r>
        <w:rPr>
          <w:rFonts w:hint="eastAsia" w:ascii="仿宋_GB2312" w:hAnsi="宋体" w:eastAsia="仿宋_GB2312"/>
          <w:sz w:val="32"/>
          <w:szCs w:val="32"/>
          <w:lang w:val="en-US" w:eastAsia="zh-CN"/>
        </w:rPr>
        <w:t>306.87</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村级防疫员补助和检查站检疫补助疫苗配套等</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eastAsia="zh-CN"/>
        </w:rPr>
        <w:t>农产品质量安全</w:t>
      </w:r>
      <w:r>
        <w:rPr>
          <w:rFonts w:hint="eastAsia" w:ascii="仿宋_GB2312" w:hAnsi="宋体" w:eastAsia="仿宋_GB2312"/>
          <w:sz w:val="32"/>
          <w:szCs w:val="32"/>
          <w:lang w:val="en-US" w:eastAsia="zh-CN"/>
        </w:rPr>
        <w:t>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畜产品检测经费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执法监管</w:t>
      </w:r>
      <w:r>
        <w:rPr>
          <w:rFonts w:hint="eastAsia" w:ascii="仿宋_GB2312" w:hAnsi="宋体" w:eastAsia="仿宋_GB2312"/>
          <w:sz w:val="32"/>
          <w:szCs w:val="32"/>
          <w:lang w:val="en-US" w:eastAsia="zh-CN"/>
        </w:rPr>
        <w:t>0.66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监督检查经费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eastAsia="zh-CN"/>
        </w:rPr>
        <w:t>农业资源保护修复与利用</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草场建设经费</w:t>
      </w:r>
      <w:r>
        <w:rPr>
          <w:rFonts w:hint="eastAsia" w:ascii="仿宋_GB2312" w:hAnsi="宋体" w:eastAsia="仿宋_GB2312"/>
          <w:sz w:val="32"/>
          <w:szCs w:val="32"/>
        </w:rPr>
        <w:t>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rPr>
        <w:t>其他农业支出</w:t>
      </w:r>
      <w:r>
        <w:rPr>
          <w:rFonts w:hint="eastAsia" w:ascii="仿宋_GB2312" w:hAnsi="宋体" w:eastAsia="仿宋_GB2312"/>
          <w:sz w:val="32"/>
          <w:szCs w:val="32"/>
          <w:lang w:val="en-US" w:eastAsia="zh-CN"/>
        </w:rPr>
        <w:t>9.71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畜禽防疫</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27.6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27.6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在职人员住房公积金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lang w:val="en-US" w:eastAsia="zh-CN"/>
        </w:rPr>
      </w:pPr>
      <w:r>
        <w:rPr>
          <w:rFonts w:hint="eastAsia" w:ascii="仿宋_GB2312" w:hAnsi="宋体" w:eastAsia="仿宋_GB2312"/>
          <w:sz w:val="32"/>
          <w:szCs w:val="32"/>
        </w:rPr>
        <w:t>2017年度公共预算财政拨款安排的“三公”经费支出</w:t>
      </w:r>
      <w:r>
        <w:rPr>
          <w:rFonts w:hint="eastAsia" w:ascii="仿宋_GB2312" w:hAnsi="宋体" w:eastAsia="仿宋_GB2312"/>
          <w:sz w:val="32"/>
          <w:szCs w:val="32"/>
          <w:lang w:val="en-US" w:eastAsia="zh-CN"/>
        </w:rPr>
        <w:t>21.87</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21.87</w:t>
      </w:r>
      <w:r>
        <w:rPr>
          <w:rFonts w:hint="eastAsia" w:ascii="仿宋_GB2312" w:hAnsi="宋体" w:eastAsia="仿宋_GB2312"/>
          <w:sz w:val="32"/>
          <w:szCs w:val="32"/>
        </w:rPr>
        <w:t>万元。2017年度“三公”经费支出比2017年初预算少（多）支出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万元，比2016年决算减少（增加）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。增减变化的原因是车辆运行费与上年无变化。</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万元，2017年国内公务接待累计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21.87</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21.87</w:t>
      </w:r>
      <w:r>
        <w:rPr>
          <w:rFonts w:hint="eastAsia" w:ascii="仿宋_GB2312" w:hAnsi="宋体" w:eastAsia="仿宋_GB2312"/>
          <w:sz w:val="32"/>
          <w:szCs w:val="32"/>
        </w:rPr>
        <w:t>万元。2017年购置公务用车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9</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2017年财政局机关运行经费支出</w:t>
      </w:r>
      <w:r>
        <w:rPr>
          <w:rFonts w:hint="eastAsia" w:ascii="仿宋_GB2312" w:hAnsi="黑体" w:eastAsia="仿宋_GB2312"/>
          <w:sz w:val="32"/>
          <w:szCs w:val="32"/>
          <w:lang w:val="en-US" w:eastAsia="zh-CN"/>
        </w:rPr>
        <w:t>12.5</w:t>
      </w:r>
      <w:r>
        <w:rPr>
          <w:rFonts w:hint="eastAsia" w:ascii="仿宋_GB2312" w:hAnsi="黑体" w:eastAsia="仿宋_GB2312"/>
          <w:sz w:val="32"/>
          <w:szCs w:val="32"/>
        </w:rPr>
        <w:t>万元，比2016年增加</w:t>
      </w:r>
      <w:r>
        <w:rPr>
          <w:rFonts w:hint="eastAsia" w:ascii="仿宋_GB2312" w:hAnsi="黑体" w:eastAsia="仿宋_GB2312"/>
          <w:sz w:val="32"/>
          <w:szCs w:val="32"/>
          <w:lang w:val="en-US" w:eastAsia="zh-CN"/>
        </w:rPr>
        <w:t>7.53</w:t>
      </w:r>
      <w:r>
        <w:rPr>
          <w:rFonts w:hint="eastAsia" w:ascii="仿宋_GB2312" w:hAnsi="黑体" w:eastAsia="仿宋_GB2312"/>
          <w:sz w:val="32"/>
          <w:szCs w:val="32"/>
        </w:rPr>
        <w:t>万元，增长</w:t>
      </w:r>
      <w:r>
        <w:rPr>
          <w:rFonts w:hint="eastAsia" w:ascii="仿宋_GB2312" w:hAnsi="黑体" w:eastAsia="仿宋_GB2312"/>
          <w:sz w:val="32"/>
          <w:szCs w:val="32"/>
          <w:lang w:val="en-US" w:eastAsia="zh-CN"/>
        </w:rPr>
        <w:t>151</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增加了公务交通补贴支出</w:t>
      </w:r>
      <w:r>
        <w:rPr>
          <w:rFonts w:hint="eastAsia" w:ascii="仿宋_GB2312" w:hAnsi="黑体"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2017年</w:t>
      </w:r>
      <w:r>
        <w:rPr>
          <w:rFonts w:hint="eastAsia" w:ascii="仿宋_GB2312" w:hAnsi="黑体" w:eastAsia="仿宋_GB2312"/>
          <w:sz w:val="32"/>
          <w:szCs w:val="32"/>
          <w:lang w:eastAsia="zh-CN"/>
        </w:rPr>
        <w:t>动监</w:t>
      </w:r>
      <w:r>
        <w:rPr>
          <w:rFonts w:hint="eastAsia" w:ascii="仿宋_GB2312" w:hAnsi="黑体" w:eastAsia="仿宋_GB2312"/>
          <w:sz w:val="32"/>
          <w:szCs w:val="32"/>
        </w:rPr>
        <w:t>局政府采购支出总额</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2.8</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动监局</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9</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8</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根据财政预算管理要求，我局组织对2017年度预算项目支出全面开展绩效自评，共涉及预算支出项目</w:t>
      </w:r>
      <w:r>
        <w:rPr>
          <w:rFonts w:hint="eastAsia" w:ascii="仿宋_GB2312" w:hAnsi="黑体" w:eastAsia="仿宋_GB2312"/>
          <w:sz w:val="32"/>
          <w:szCs w:val="32"/>
          <w:lang w:val="en-US" w:eastAsia="zh-CN"/>
        </w:rPr>
        <w:t>5</w:t>
      </w:r>
      <w:r>
        <w:rPr>
          <w:rFonts w:hint="eastAsia" w:ascii="仿宋_GB2312" w:hAnsi="宋体" w:eastAsia="仿宋_GB2312" w:cs="宋体"/>
          <w:sz w:val="32"/>
          <w:szCs w:val="32"/>
        </w:rPr>
        <w:t>个，涉及资金</w:t>
      </w:r>
      <w:r>
        <w:rPr>
          <w:rFonts w:hint="eastAsia" w:ascii="仿宋_GB2312" w:hAnsi="黑体" w:eastAsia="仿宋_GB2312"/>
          <w:sz w:val="32"/>
          <w:szCs w:val="32"/>
          <w:lang w:val="en-US" w:eastAsia="zh-CN"/>
        </w:rPr>
        <w:t>100</w:t>
      </w:r>
      <w:r>
        <w:rPr>
          <w:rFonts w:hint="eastAsia" w:ascii="仿宋_GB2312" w:hAnsi="宋体" w:eastAsia="仿宋_GB2312" w:cs="宋体"/>
          <w:sz w:val="32"/>
          <w:szCs w:val="32"/>
        </w:rPr>
        <w:t>万元，自评覆盖率（开展绩效自评的项目数/年初批复绩效目标的项目数）达到</w:t>
      </w:r>
      <w:r>
        <w:rPr>
          <w:rFonts w:hint="eastAsia" w:ascii="仿宋_GB2312" w:hAnsi="黑体" w:eastAsia="仿宋_GB2312"/>
          <w:sz w:val="32"/>
          <w:szCs w:val="32"/>
          <w:lang w:val="en-US" w:eastAsia="zh-CN"/>
        </w:rPr>
        <w:t>99</w:t>
      </w:r>
      <w:r>
        <w:rPr>
          <w:rFonts w:hint="eastAsia" w:ascii="仿宋_GB2312" w:hAnsi="宋体" w:eastAsia="仿宋_GB2312" w:cs="宋体"/>
          <w:sz w:val="32"/>
          <w:szCs w:val="32"/>
        </w:rPr>
        <w:t>%，自评平均分（开展绩效自评的项目分数总和/开展绩效自评的项目数）</w:t>
      </w:r>
      <w:r>
        <w:rPr>
          <w:rFonts w:hint="eastAsia" w:ascii="仿宋_GB2312" w:hAnsi="黑体" w:eastAsia="仿宋_GB2312"/>
          <w:sz w:val="32"/>
          <w:szCs w:val="32"/>
          <w:lang w:val="en-US" w:eastAsia="zh-CN"/>
        </w:rPr>
        <w:t>90</w:t>
      </w:r>
      <w:r>
        <w:rPr>
          <w:rFonts w:hint="eastAsia" w:ascii="仿宋_GB2312" w:hAnsi="宋体" w:eastAsia="仿宋_GB2312" w:cs="宋体"/>
          <w:sz w:val="32"/>
          <w:szCs w:val="32"/>
        </w:rPr>
        <w:t>分。</w:t>
      </w:r>
    </w:p>
    <w:p>
      <w:pPr>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通过绩效自评发现预算项目管理主要存在以下问题：</w:t>
      </w:r>
      <w:r>
        <w:rPr>
          <w:rFonts w:hint="eastAsia" w:ascii="仿宋_GB2312" w:hAnsi="宋体" w:eastAsia="仿宋_GB2312" w:cs="宋体"/>
          <w:sz w:val="32"/>
          <w:szCs w:val="32"/>
          <w:lang w:eastAsia="zh-CN"/>
        </w:rPr>
        <w:t>无</w:t>
      </w:r>
      <w:r>
        <w:rPr>
          <w:rFonts w:hint="eastAsia" w:ascii="仿宋_GB2312" w:hAnsi="宋体" w:eastAsia="仿宋_GB2312" w:cs="宋体"/>
          <w:sz w:val="32"/>
          <w:szCs w:val="32"/>
        </w:rPr>
        <w:t>。</w:t>
      </w:r>
    </w:p>
    <w:p>
      <w:pPr>
        <w:ind w:firstLine="640" w:firstLineChars="200"/>
        <w:rPr>
          <w:rFonts w:hint="eastAsia" w:ascii="仿宋_GB2312" w:hAnsi="宋体" w:eastAsia="仿宋_GB2312" w:cs="宋体"/>
          <w:sz w:val="32"/>
          <w:szCs w:val="32"/>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28.节能环保支出（类）污染防治（款）水体（项）：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29.农林水事务（类）农业（款）其他农业支出（项）：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30.交通运输（类）石油价格改革对交通运输的补贴（款）石油价格改革补贴其他支出（项）：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31.资源勘探信息等支出（类）工业和信息产业监管支出（款）其他工业和信息产业监管支出（项）：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32.资源勘探信息等支出（类）其他资源勘探电力信息等支出（款）建设项目贷款贴息（项）：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33.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35.其他支出（类）其他支出（款）其他支出（项）：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36.机关运行经费：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left"/>
        <w:rPr>
          <w:rFonts w:hint="eastAsia"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C5054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2018-08-23T08:51:00Z</dcterms:created>
  <dc:creator>Administrator</dc:creator>
  <cp:lastModifiedBy>世刚</cp:lastModifiedBy>
  <dcterms:modified xsi:type="dcterms:W3CDTF">2019-02-18T03:15:45Z</dcterms:modified>
  <dc:title>桓仁满族自治县动物卫生监督</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