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636B21">
      <w:pPr>
        <w:jc w:val="center"/>
        <w:rPr>
          <w:rFonts w:ascii="宋体"/>
          <w:sz w:val="32"/>
          <w:szCs w:val="32"/>
        </w:rPr>
      </w:pPr>
    </w:p>
    <w:p w14:paraId="064A9342">
      <w:pPr>
        <w:jc w:val="center"/>
        <w:rPr>
          <w:rFonts w:ascii="宋体"/>
          <w:sz w:val="32"/>
          <w:szCs w:val="32"/>
        </w:rPr>
      </w:pPr>
    </w:p>
    <w:p w14:paraId="4C27F427">
      <w:pPr>
        <w:jc w:val="center"/>
        <w:rPr>
          <w:rFonts w:ascii="宋体"/>
          <w:sz w:val="32"/>
          <w:szCs w:val="32"/>
        </w:rPr>
      </w:pPr>
    </w:p>
    <w:p w14:paraId="69A7169E">
      <w:pPr>
        <w:jc w:val="center"/>
        <w:rPr>
          <w:rFonts w:ascii="宋体"/>
          <w:sz w:val="32"/>
          <w:szCs w:val="32"/>
        </w:rPr>
      </w:pPr>
    </w:p>
    <w:p w14:paraId="72417540">
      <w:pPr>
        <w:jc w:val="center"/>
        <w:rPr>
          <w:rFonts w:ascii="宋体"/>
          <w:sz w:val="32"/>
          <w:szCs w:val="32"/>
        </w:rPr>
      </w:pPr>
    </w:p>
    <w:p w14:paraId="22BE2B8B">
      <w:pPr>
        <w:jc w:val="center"/>
        <w:rPr>
          <w:rFonts w:ascii="宋体"/>
          <w:sz w:val="32"/>
          <w:szCs w:val="32"/>
        </w:rPr>
      </w:pPr>
    </w:p>
    <w:p w14:paraId="58FC6250">
      <w:pPr>
        <w:spacing w:line="560" w:lineRule="exact"/>
        <w:jc w:val="center"/>
        <w:rPr>
          <w:rFonts w:hint="eastAsia" w:ascii="仿宋" w:hAnsi="仿宋" w:eastAsia="仿宋"/>
          <w:sz w:val="32"/>
          <w:szCs w:val="32"/>
        </w:rPr>
      </w:pPr>
      <w:r>
        <w:rPr>
          <w:rFonts w:hint="eastAsia" w:ascii="仿宋" w:hAnsi="仿宋" w:eastAsia="仿宋"/>
          <w:sz w:val="32"/>
          <w:szCs w:val="32"/>
          <w:lang w:val="en-US" w:eastAsia="zh-CN"/>
        </w:rPr>
        <w:t>桓</w:t>
      </w:r>
      <w:r>
        <w:rPr>
          <w:rFonts w:hint="eastAsia" w:ascii="仿宋" w:hAnsi="仿宋" w:eastAsia="仿宋"/>
          <w:sz w:val="32"/>
          <w:szCs w:val="32"/>
        </w:rPr>
        <w:t>财〔</w:t>
      </w:r>
      <w:r>
        <w:rPr>
          <w:rFonts w:ascii="仿宋" w:hAnsi="仿宋" w:eastAsia="仿宋"/>
          <w:sz w:val="32"/>
          <w:szCs w:val="32"/>
        </w:rPr>
        <w:t>2019</w:t>
      </w:r>
      <w:r>
        <w:rPr>
          <w:rFonts w:hint="eastAsia" w:ascii="仿宋" w:hAnsi="仿宋" w:eastAsia="仿宋"/>
          <w:sz w:val="32"/>
          <w:szCs w:val="32"/>
        </w:rPr>
        <w:t>〕</w:t>
      </w:r>
      <w:r>
        <w:rPr>
          <w:rFonts w:hint="eastAsia" w:ascii="仿宋" w:hAnsi="仿宋" w:eastAsia="仿宋"/>
          <w:sz w:val="32"/>
          <w:szCs w:val="32"/>
          <w:lang w:val="en-US" w:eastAsia="zh-CN"/>
        </w:rPr>
        <w:t>67</w:t>
      </w:r>
      <w:r>
        <w:rPr>
          <w:rFonts w:hint="eastAsia" w:ascii="仿宋" w:hAnsi="仿宋" w:eastAsia="仿宋"/>
          <w:sz w:val="32"/>
          <w:szCs w:val="32"/>
        </w:rPr>
        <w:t>号</w:t>
      </w:r>
    </w:p>
    <w:p w14:paraId="2BEDB03B">
      <w:pPr>
        <w:spacing w:line="560" w:lineRule="exact"/>
        <w:jc w:val="center"/>
        <w:rPr>
          <w:rFonts w:hint="eastAsia" w:ascii="仿宋" w:hAnsi="仿宋" w:eastAsia="仿宋"/>
          <w:sz w:val="32"/>
          <w:szCs w:val="32"/>
        </w:rPr>
      </w:pPr>
    </w:p>
    <w:p w14:paraId="0BC60319">
      <w:pPr>
        <w:spacing w:line="560" w:lineRule="exact"/>
        <w:rPr>
          <w:rFonts w:ascii="宋体"/>
          <w:sz w:val="32"/>
          <w:szCs w:val="32"/>
        </w:rPr>
      </w:pPr>
    </w:p>
    <w:p w14:paraId="0BF71DD4">
      <w:pPr>
        <w:spacing w:line="560" w:lineRule="exact"/>
        <w:jc w:val="center"/>
        <w:rPr>
          <w:rFonts w:ascii="宋体"/>
          <w:b/>
          <w:sz w:val="44"/>
          <w:szCs w:val="44"/>
        </w:rPr>
      </w:pPr>
      <w:r>
        <w:rPr>
          <w:rFonts w:hint="eastAsia" w:ascii="宋体" w:hAnsi="宋体"/>
          <w:b/>
          <w:sz w:val="44"/>
          <w:szCs w:val="44"/>
        </w:rPr>
        <w:t>关于加强</w:t>
      </w:r>
      <w:r>
        <w:rPr>
          <w:rFonts w:hint="eastAsia" w:ascii="宋体" w:hAnsi="宋体"/>
          <w:b/>
          <w:sz w:val="44"/>
          <w:szCs w:val="44"/>
          <w:lang w:val="en-US" w:eastAsia="zh-CN"/>
        </w:rPr>
        <w:t>桓仁满族自治县</w:t>
      </w:r>
      <w:r>
        <w:rPr>
          <w:rFonts w:hint="eastAsia" w:ascii="宋体" w:hAnsi="宋体"/>
          <w:b/>
          <w:sz w:val="44"/>
          <w:szCs w:val="44"/>
        </w:rPr>
        <w:t>财政局法制审核</w:t>
      </w:r>
    </w:p>
    <w:p w14:paraId="7544C07A">
      <w:pPr>
        <w:spacing w:line="560" w:lineRule="exact"/>
        <w:jc w:val="center"/>
        <w:rPr>
          <w:rFonts w:ascii="宋体"/>
          <w:b/>
          <w:sz w:val="44"/>
          <w:szCs w:val="44"/>
        </w:rPr>
      </w:pPr>
      <w:r>
        <w:rPr>
          <w:rFonts w:hint="eastAsia" w:ascii="宋体" w:hAnsi="宋体"/>
          <w:b/>
          <w:sz w:val="44"/>
          <w:szCs w:val="44"/>
        </w:rPr>
        <w:t>队伍建设及法制人员定期培训制度工作的通知</w:t>
      </w:r>
    </w:p>
    <w:p w14:paraId="1566D512">
      <w:pPr>
        <w:spacing w:line="560" w:lineRule="exact"/>
        <w:rPr>
          <w:rFonts w:ascii="宋体"/>
          <w:sz w:val="44"/>
          <w:szCs w:val="44"/>
        </w:rPr>
      </w:pPr>
    </w:p>
    <w:p w14:paraId="7FBEFABE">
      <w:pPr>
        <w:spacing w:line="560" w:lineRule="exact"/>
        <w:rPr>
          <w:rFonts w:hint="eastAsia" w:ascii="仿宋_GB2312" w:eastAsia="仿宋_GB2312"/>
          <w:sz w:val="32"/>
          <w:szCs w:val="32"/>
          <w:lang w:val="en-US" w:eastAsia="zh-CN"/>
        </w:rPr>
      </w:pPr>
      <w:r>
        <w:rPr>
          <w:rFonts w:hint="eastAsia" w:ascii="仿宋_GB2312" w:eastAsia="仿宋_GB2312"/>
          <w:sz w:val="32"/>
          <w:szCs w:val="32"/>
        </w:rPr>
        <w:t>局内各</w:t>
      </w:r>
      <w:r>
        <w:rPr>
          <w:rFonts w:hint="eastAsia" w:ascii="仿宋_GB2312" w:eastAsia="仿宋_GB2312"/>
          <w:sz w:val="32"/>
          <w:szCs w:val="32"/>
          <w:lang w:val="en-US" w:eastAsia="zh-CN"/>
        </w:rPr>
        <w:t>股室、公共财政服务中心、国有资产事务管理中心：</w:t>
      </w:r>
    </w:p>
    <w:p w14:paraId="08144044">
      <w:pPr>
        <w:spacing w:line="560" w:lineRule="exact"/>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为深入贯彻《法治政府建设实施纲要</w:t>
      </w:r>
      <w:r>
        <w:rPr>
          <w:rFonts w:ascii="仿宋" w:hAnsi="仿宋" w:eastAsia="仿宋"/>
          <w:sz w:val="32"/>
          <w:szCs w:val="32"/>
        </w:rPr>
        <w:t>(2015—2020</w:t>
      </w:r>
      <w:r>
        <w:rPr>
          <w:rFonts w:hint="eastAsia" w:ascii="仿宋" w:hAnsi="仿宋" w:eastAsia="仿宋"/>
          <w:sz w:val="32"/>
          <w:szCs w:val="32"/>
        </w:rPr>
        <w:t>年</w:t>
      </w:r>
      <w:r>
        <w:rPr>
          <w:rFonts w:ascii="仿宋" w:hAnsi="仿宋" w:eastAsia="仿宋"/>
          <w:sz w:val="32"/>
          <w:szCs w:val="32"/>
        </w:rPr>
        <w:t>)</w:t>
      </w:r>
      <w:r>
        <w:rPr>
          <w:rFonts w:hint="eastAsia" w:ascii="仿宋" w:hAnsi="仿宋" w:eastAsia="仿宋"/>
          <w:sz w:val="32"/>
          <w:szCs w:val="32"/>
        </w:rPr>
        <w:t>》和《国务院办公厅关于全面推行行政执法公示制度执法全过程记录制度重大执法决定法制审核制度的指导意见》（国办发〔</w:t>
      </w:r>
      <w:r>
        <w:rPr>
          <w:rFonts w:ascii="仿宋" w:hAnsi="仿宋" w:eastAsia="仿宋"/>
          <w:sz w:val="32"/>
          <w:szCs w:val="32"/>
        </w:rPr>
        <w:t>2018</w:t>
      </w:r>
      <w:r>
        <w:rPr>
          <w:rFonts w:hint="eastAsia" w:ascii="仿宋" w:hAnsi="仿宋" w:eastAsia="仿宋"/>
          <w:sz w:val="32"/>
          <w:szCs w:val="32"/>
        </w:rPr>
        <w:t>〕</w:t>
      </w:r>
      <w:r>
        <w:rPr>
          <w:rFonts w:ascii="仿宋" w:hAnsi="仿宋" w:eastAsia="仿宋"/>
          <w:sz w:val="32"/>
          <w:szCs w:val="32"/>
        </w:rPr>
        <w:t>118</w:t>
      </w:r>
      <w:r>
        <w:rPr>
          <w:rFonts w:hint="eastAsia" w:ascii="仿宋" w:hAnsi="仿宋" w:eastAsia="仿宋"/>
          <w:sz w:val="32"/>
          <w:szCs w:val="32"/>
        </w:rPr>
        <w:t>号）的精神，严格实施重大执法决定法制审核制度，按照《辽宁省人民政府办公厅关于印发辽宁省全面推行行政执法公示制度执法全过程记录制度重大执法决定法制审核制度实施方案的通知》（辽政办发〔</w:t>
      </w:r>
      <w:r>
        <w:rPr>
          <w:rFonts w:ascii="仿宋" w:hAnsi="仿宋" w:eastAsia="仿宋"/>
          <w:sz w:val="32"/>
          <w:szCs w:val="32"/>
        </w:rPr>
        <w:t>2019</w:t>
      </w:r>
      <w:r>
        <w:rPr>
          <w:rFonts w:hint="eastAsia" w:ascii="仿宋" w:hAnsi="仿宋" w:eastAsia="仿宋"/>
          <w:sz w:val="32"/>
          <w:szCs w:val="32"/>
        </w:rPr>
        <w:t>〕</w:t>
      </w:r>
      <w:r>
        <w:rPr>
          <w:rFonts w:ascii="仿宋" w:hAnsi="仿宋" w:eastAsia="仿宋"/>
          <w:sz w:val="32"/>
          <w:szCs w:val="32"/>
        </w:rPr>
        <w:t>13</w:t>
      </w:r>
      <w:r>
        <w:rPr>
          <w:rFonts w:hint="eastAsia" w:ascii="仿宋" w:hAnsi="仿宋" w:eastAsia="仿宋"/>
          <w:sz w:val="32"/>
          <w:szCs w:val="32"/>
        </w:rPr>
        <w:t>号）、《本溪市人民政府办公室关于印发本溪市全面推行行政执法公示制度执法全过程记录制度重大执法决定法制审核制度实施方案的通知》（本政办发〔</w:t>
      </w:r>
      <w:r>
        <w:rPr>
          <w:rFonts w:ascii="仿宋" w:hAnsi="仿宋" w:eastAsia="仿宋"/>
          <w:sz w:val="32"/>
          <w:szCs w:val="32"/>
        </w:rPr>
        <w:t>2019</w:t>
      </w:r>
      <w:r>
        <w:rPr>
          <w:rFonts w:hint="eastAsia" w:ascii="仿宋" w:hAnsi="仿宋" w:eastAsia="仿宋"/>
          <w:sz w:val="32"/>
          <w:szCs w:val="32"/>
        </w:rPr>
        <w:t>〕</w:t>
      </w:r>
      <w:r>
        <w:rPr>
          <w:rFonts w:ascii="仿宋" w:hAnsi="仿宋" w:eastAsia="仿宋"/>
          <w:sz w:val="32"/>
          <w:szCs w:val="32"/>
        </w:rPr>
        <w:t>16</w:t>
      </w:r>
      <w:r>
        <w:rPr>
          <w:rFonts w:hint="eastAsia" w:ascii="仿宋" w:hAnsi="仿宋" w:eastAsia="仿宋"/>
          <w:sz w:val="32"/>
          <w:szCs w:val="32"/>
        </w:rPr>
        <w:t>号）和《本溪市财政局推行行政执法公示制度</w:t>
      </w:r>
      <w:r>
        <w:rPr>
          <w:rFonts w:ascii="仿宋" w:hAnsi="仿宋" w:eastAsia="仿宋"/>
          <w:sz w:val="32"/>
          <w:szCs w:val="32"/>
        </w:rPr>
        <w:t xml:space="preserve"> </w:t>
      </w:r>
      <w:r>
        <w:rPr>
          <w:rFonts w:hint="eastAsia" w:ascii="仿宋" w:hAnsi="仿宋" w:eastAsia="仿宋"/>
          <w:sz w:val="32"/>
          <w:szCs w:val="32"/>
        </w:rPr>
        <w:t>执法全过程记录制度</w:t>
      </w:r>
      <w:r>
        <w:rPr>
          <w:rFonts w:ascii="仿宋" w:hAnsi="仿宋" w:eastAsia="仿宋"/>
          <w:sz w:val="32"/>
          <w:szCs w:val="32"/>
        </w:rPr>
        <w:t xml:space="preserve"> </w:t>
      </w:r>
      <w:r>
        <w:rPr>
          <w:rFonts w:hint="eastAsia" w:ascii="仿宋" w:hAnsi="仿宋" w:eastAsia="仿宋"/>
          <w:sz w:val="32"/>
          <w:szCs w:val="32"/>
        </w:rPr>
        <w:t>重大执法决定法制审核制度实施方案》（本财发〔</w:t>
      </w:r>
      <w:r>
        <w:rPr>
          <w:rFonts w:ascii="仿宋" w:hAnsi="仿宋" w:eastAsia="仿宋"/>
          <w:sz w:val="32"/>
          <w:szCs w:val="32"/>
        </w:rPr>
        <w:t>2019</w:t>
      </w:r>
      <w:r>
        <w:rPr>
          <w:rFonts w:hint="eastAsia" w:ascii="仿宋" w:hAnsi="仿宋" w:eastAsia="仿宋"/>
          <w:sz w:val="32"/>
          <w:szCs w:val="32"/>
        </w:rPr>
        <w:t>〕</w:t>
      </w:r>
      <w:r>
        <w:rPr>
          <w:rFonts w:ascii="仿宋" w:hAnsi="仿宋" w:eastAsia="仿宋"/>
          <w:sz w:val="32"/>
          <w:szCs w:val="32"/>
        </w:rPr>
        <w:t>65</w:t>
      </w:r>
      <w:r>
        <w:rPr>
          <w:rFonts w:hint="eastAsia" w:ascii="仿宋" w:hAnsi="仿宋" w:eastAsia="仿宋"/>
          <w:sz w:val="32"/>
          <w:szCs w:val="32"/>
        </w:rPr>
        <w:t>号）要求，经市财政局同意，现就加强法制审核队伍建设工作通知如下：</w:t>
      </w:r>
    </w:p>
    <w:p w14:paraId="3E2A725C">
      <w:pPr>
        <w:spacing w:line="560" w:lineRule="exact"/>
        <w:ind w:firstLine="640" w:firstLineChars="200"/>
        <w:rPr>
          <w:rFonts w:ascii="黑体" w:hAnsi="黑体" w:eastAsia="黑体"/>
          <w:sz w:val="32"/>
          <w:szCs w:val="32"/>
        </w:rPr>
      </w:pPr>
      <w:r>
        <w:rPr>
          <w:rFonts w:hint="eastAsia" w:ascii="黑体" w:hAnsi="黑体" w:eastAsia="黑体"/>
          <w:sz w:val="32"/>
          <w:szCs w:val="32"/>
        </w:rPr>
        <w:t>一、充分认识重大执法决定法制审核的意义，高度重视法制审核队伍建设</w:t>
      </w:r>
    </w:p>
    <w:p w14:paraId="4D5BBFD4">
      <w:pPr>
        <w:spacing w:line="560" w:lineRule="exact"/>
        <w:ind w:firstLine="640" w:firstLineChars="200"/>
        <w:rPr>
          <w:rFonts w:ascii="仿宋" w:hAnsi="仿宋" w:eastAsia="仿宋"/>
          <w:sz w:val="32"/>
          <w:szCs w:val="32"/>
        </w:rPr>
      </w:pPr>
      <w:r>
        <w:rPr>
          <w:rFonts w:hint="eastAsia" w:ascii="仿宋" w:hAnsi="仿宋" w:eastAsia="仿宋"/>
          <w:sz w:val="32"/>
          <w:szCs w:val="32"/>
        </w:rPr>
        <w:t>推行重大执法决定法制审核制度是党的十八届四中全会提出的全面推进依法治国、建设法治政府的重要任务措施，《法治政府建设与责任落实督察工作规定》中明确提出地方各级政府及部门要全面推行重大执法决定法制审核，确保行政机关依法履行法定职责，切实维护人民群众合法权益，推进严格规范公正文明执法。</w:t>
      </w:r>
    </w:p>
    <w:p w14:paraId="6D5127FC">
      <w:pPr>
        <w:spacing w:line="560" w:lineRule="exact"/>
        <w:ind w:firstLine="640" w:firstLineChars="200"/>
        <w:rPr>
          <w:rFonts w:ascii="仿宋" w:hAnsi="仿宋" w:eastAsia="仿宋"/>
          <w:sz w:val="32"/>
          <w:szCs w:val="32"/>
        </w:rPr>
      </w:pPr>
      <w:r>
        <w:rPr>
          <w:rFonts w:hint="eastAsia" w:ascii="仿宋" w:hAnsi="仿宋" w:eastAsia="仿宋"/>
          <w:sz w:val="32"/>
          <w:szCs w:val="32"/>
        </w:rPr>
        <w:t>重大执法决定法制审核，是指各级政府及行政机关（含法律法规授权的具有管理公共事务职能的组织，以及行政机关依照法律、法规或规章的规定委托的组织，下同）在依法作出行政许可、行政处罚、行政强制、行政征收征用、行政检查等重大行政执法决定之前，由该行政执法机关负责法制工作的机构（以下统称法制机构）对其合法性、适当性进行审核的行为。各行政执法</w:t>
      </w:r>
      <w:r>
        <w:rPr>
          <w:rFonts w:hint="eastAsia" w:ascii="仿宋" w:hAnsi="仿宋" w:eastAsia="仿宋"/>
          <w:sz w:val="32"/>
          <w:szCs w:val="32"/>
          <w:lang w:val="en-US" w:eastAsia="zh-CN"/>
        </w:rPr>
        <w:t>股</w:t>
      </w:r>
      <w:r>
        <w:rPr>
          <w:rFonts w:hint="eastAsia" w:ascii="仿宋" w:hAnsi="仿宋" w:eastAsia="仿宋"/>
          <w:sz w:val="32"/>
          <w:szCs w:val="32"/>
        </w:rPr>
        <w:t>室（含</w:t>
      </w:r>
      <w:r>
        <w:rPr>
          <w:rFonts w:hint="eastAsia" w:ascii="仿宋" w:hAnsi="仿宋" w:eastAsia="仿宋"/>
          <w:sz w:val="32"/>
          <w:szCs w:val="32"/>
          <w:lang w:eastAsia="zh-CN"/>
        </w:rPr>
        <w:t>县</w:t>
      </w:r>
      <w:r>
        <w:rPr>
          <w:rFonts w:hint="eastAsia" w:ascii="仿宋" w:hAnsi="仿宋" w:eastAsia="仿宋"/>
          <w:sz w:val="32"/>
          <w:szCs w:val="32"/>
          <w:lang w:val="en-US" w:eastAsia="zh-CN"/>
        </w:rPr>
        <w:t>公共</w:t>
      </w:r>
      <w:r>
        <w:rPr>
          <w:rFonts w:hint="eastAsia" w:ascii="仿宋" w:hAnsi="仿宋" w:eastAsia="仿宋"/>
          <w:sz w:val="32"/>
          <w:szCs w:val="32"/>
        </w:rPr>
        <w:t>财政事务服务中心</w:t>
      </w:r>
      <w:r>
        <w:rPr>
          <w:rFonts w:ascii="仿宋" w:hAnsi="仿宋" w:eastAsia="仿宋"/>
          <w:sz w:val="32"/>
          <w:szCs w:val="32"/>
        </w:rPr>
        <w:t>,</w:t>
      </w:r>
      <w:r>
        <w:rPr>
          <w:rFonts w:hint="eastAsia" w:ascii="仿宋" w:hAnsi="仿宋" w:eastAsia="仿宋"/>
          <w:sz w:val="32"/>
          <w:szCs w:val="32"/>
        </w:rPr>
        <w:t>下同）要充分认识做好重大执法决定法制审核工作的重大意义，在健全法制审核制度基础上，切实加强法制机构和法制审核人员队伍建设，确保重大执法决定法制审核制度落到实处，促进严格规范公正文明执法。</w:t>
      </w:r>
    </w:p>
    <w:p w14:paraId="48725135">
      <w:pPr>
        <w:spacing w:line="560" w:lineRule="exact"/>
        <w:ind w:firstLine="640" w:firstLineChars="200"/>
        <w:rPr>
          <w:rFonts w:ascii="黑体" w:hAnsi="黑体" w:eastAsia="黑体"/>
          <w:sz w:val="32"/>
          <w:szCs w:val="32"/>
        </w:rPr>
      </w:pPr>
      <w:r>
        <w:rPr>
          <w:rFonts w:hint="eastAsia" w:ascii="黑体" w:hAnsi="黑体" w:eastAsia="黑体"/>
          <w:sz w:val="32"/>
          <w:szCs w:val="32"/>
        </w:rPr>
        <w:t>二、明确法制审核人员配备要求，加强法制审核队伍建设</w:t>
      </w:r>
    </w:p>
    <w:p w14:paraId="08425FEC">
      <w:pPr>
        <w:spacing w:line="560" w:lineRule="exact"/>
        <w:ind w:firstLine="640" w:firstLineChars="200"/>
        <w:rPr>
          <w:rFonts w:ascii="仿宋" w:hAnsi="仿宋" w:eastAsia="仿宋"/>
          <w:sz w:val="32"/>
          <w:szCs w:val="32"/>
        </w:rPr>
      </w:pPr>
      <w:r>
        <w:rPr>
          <w:rFonts w:hint="eastAsia" w:ascii="仿宋" w:hAnsi="仿宋" w:eastAsia="仿宋"/>
          <w:sz w:val="32"/>
          <w:szCs w:val="32"/>
        </w:rPr>
        <w:t>各级政府及所属部门法制机构是重大执法决定法制审核的主体，法制机构工作人员是重大执法决定的法制审核人员。做好重大执法决定法制审核工作必须有健全的法制机构、高素质的法制审核人员。局机关要加强法制机构建设，明确设置职能</w:t>
      </w:r>
      <w:r>
        <w:rPr>
          <w:rFonts w:hint="eastAsia" w:ascii="仿宋" w:hAnsi="仿宋" w:eastAsia="仿宋"/>
          <w:sz w:val="32"/>
          <w:szCs w:val="32"/>
          <w:lang w:val="en-US" w:eastAsia="zh-CN"/>
        </w:rPr>
        <w:t>股</w:t>
      </w:r>
      <w:r>
        <w:rPr>
          <w:rFonts w:hint="eastAsia" w:ascii="仿宋" w:hAnsi="仿宋" w:eastAsia="仿宋"/>
          <w:sz w:val="32"/>
          <w:szCs w:val="32"/>
        </w:rPr>
        <w:t>室，并确保法制审核人员配置与法制审核工作任务相适应，原则上各级行政执法机关的法制审核人员按照不少于本机关执法人员总数</w:t>
      </w:r>
      <w:r>
        <w:rPr>
          <w:rFonts w:ascii="仿宋" w:hAnsi="仿宋" w:eastAsia="仿宋"/>
          <w:sz w:val="32"/>
          <w:szCs w:val="32"/>
        </w:rPr>
        <w:t>5%</w:t>
      </w:r>
      <w:r>
        <w:rPr>
          <w:rFonts w:hint="eastAsia" w:ascii="仿宋" w:hAnsi="仿宋" w:eastAsia="仿宋"/>
          <w:sz w:val="32"/>
          <w:szCs w:val="32"/>
        </w:rPr>
        <w:t>的比例配备。</w:t>
      </w:r>
    </w:p>
    <w:p w14:paraId="12B0D299">
      <w:pPr>
        <w:spacing w:line="560" w:lineRule="exact"/>
        <w:ind w:firstLine="640" w:firstLineChars="200"/>
        <w:rPr>
          <w:rFonts w:ascii="仿宋" w:hAnsi="仿宋" w:eastAsia="仿宋"/>
          <w:sz w:val="32"/>
          <w:szCs w:val="32"/>
        </w:rPr>
      </w:pPr>
      <w:r>
        <w:rPr>
          <w:rFonts w:hint="eastAsia" w:ascii="仿宋" w:hAnsi="仿宋" w:eastAsia="仿宋"/>
          <w:sz w:val="32"/>
          <w:szCs w:val="32"/>
        </w:rPr>
        <w:t>法制审核人员编制在本级编制总额内统筹安排解决。为加强法制审核队伍建设，解决法制审核人员不足的问题，可以通过政府购买服务的方式，充分发挥法律顾问和公职律师的作用，协助做好法制审核工作。</w:t>
      </w:r>
    </w:p>
    <w:p w14:paraId="0385237F">
      <w:pPr>
        <w:spacing w:line="560" w:lineRule="exact"/>
        <w:ind w:firstLine="640" w:firstLineChars="200"/>
        <w:rPr>
          <w:rFonts w:ascii="黑体" w:hAnsi="黑体" w:eastAsia="黑体"/>
          <w:sz w:val="32"/>
          <w:szCs w:val="32"/>
        </w:rPr>
      </w:pPr>
      <w:r>
        <w:rPr>
          <w:rFonts w:hint="eastAsia" w:ascii="黑体" w:hAnsi="黑体" w:eastAsia="黑体"/>
          <w:sz w:val="32"/>
          <w:szCs w:val="32"/>
        </w:rPr>
        <w:t>三、明确法制审核队伍素质要求，提高法制审核人员业务素质</w:t>
      </w:r>
    </w:p>
    <w:p w14:paraId="1BDA892E">
      <w:pPr>
        <w:spacing w:line="560" w:lineRule="exact"/>
        <w:ind w:firstLine="640" w:firstLineChars="200"/>
        <w:rPr>
          <w:rFonts w:ascii="仿宋" w:hAnsi="仿宋" w:eastAsia="仿宋"/>
          <w:sz w:val="32"/>
          <w:szCs w:val="32"/>
        </w:rPr>
      </w:pPr>
      <w:r>
        <w:rPr>
          <w:rFonts w:hint="eastAsia" w:ascii="仿宋" w:hAnsi="仿宋" w:eastAsia="仿宋"/>
          <w:sz w:val="32"/>
          <w:szCs w:val="32"/>
        </w:rPr>
        <w:t>《中共中央办公厅</w:t>
      </w:r>
      <w:r>
        <w:rPr>
          <w:rFonts w:ascii="仿宋" w:hAnsi="仿宋" w:eastAsia="仿宋"/>
          <w:sz w:val="32"/>
          <w:szCs w:val="32"/>
        </w:rPr>
        <w:t xml:space="preserve">  </w:t>
      </w:r>
      <w:r>
        <w:rPr>
          <w:rFonts w:hint="eastAsia" w:ascii="仿宋" w:hAnsi="仿宋" w:eastAsia="仿宋"/>
          <w:sz w:val="32"/>
          <w:szCs w:val="32"/>
        </w:rPr>
        <w:t>国务院办公厅印发〈关于完善国家统一法律职业资格制度的意见〉的通知》（厅字〔</w:t>
      </w:r>
      <w:r>
        <w:rPr>
          <w:rFonts w:ascii="仿宋" w:hAnsi="仿宋" w:eastAsia="仿宋"/>
          <w:sz w:val="32"/>
          <w:szCs w:val="32"/>
        </w:rPr>
        <w:t>2015</w:t>
      </w:r>
      <w:r>
        <w:rPr>
          <w:rFonts w:hint="eastAsia" w:ascii="仿宋" w:hAnsi="仿宋" w:eastAsia="仿宋"/>
          <w:sz w:val="32"/>
          <w:szCs w:val="32"/>
        </w:rPr>
        <w:t>〕</w:t>
      </w:r>
      <w:r>
        <w:rPr>
          <w:rFonts w:ascii="仿宋" w:hAnsi="仿宋" w:eastAsia="仿宋"/>
          <w:sz w:val="32"/>
          <w:szCs w:val="32"/>
        </w:rPr>
        <w:t>25</w:t>
      </w:r>
      <w:r>
        <w:rPr>
          <w:rFonts w:hint="eastAsia" w:ascii="仿宋" w:hAnsi="仿宋" w:eastAsia="仿宋"/>
          <w:sz w:val="32"/>
          <w:szCs w:val="32"/>
        </w:rPr>
        <w:t>号）要求，拟从事行政处罚决定审核的人员应当取得国家统一法律职业资格。明确具备国家法律职业资格人员占法制审核人员的比例，科学设定法制审核人员招录和选配的标准，配备充实政治素质高、业务能力强、具有法律专业背景的法制审核人员，逐步实现从事法制审核工作的人员具有国家统一法律职业资格。可聘用律师或专家协助开展法制审核工作，解决法制审核人员能力不足的问题。</w:t>
      </w:r>
    </w:p>
    <w:p w14:paraId="3AF8D457">
      <w:pPr>
        <w:spacing w:line="560" w:lineRule="exact"/>
        <w:ind w:firstLine="640" w:firstLineChars="200"/>
        <w:rPr>
          <w:rFonts w:ascii="仿宋" w:hAnsi="仿宋" w:eastAsia="仿宋"/>
          <w:sz w:val="32"/>
          <w:szCs w:val="32"/>
        </w:rPr>
      </w:pPr>
      <w:r>
        <w:rPr>
          <w:rFonts w:hint="eastAsia" w:ascii="仿宋" w:hAnsi="仿宋" w:eastAsia="仿宋"/>
          <w:sz w:val="32"/>
          <w:szCs w:val="32"/>
        </w:rPr>
        <w:t>要建立健全法制审核人员定期培训制度，不断优化知识结构，增强其法学理论研究和综合运用能力。鼓励从事法制审核的人员参加国家统一法律职业资格考试，取得职业资格。</w:t>
      </w:r>
    </w:p>
    <w:p w14:paraId="7F6B55B7">
      <w:pPr>
        <w:spacing w:line="560" w:lineRule="exact"/>
        <w:ind w:firstLine="640" w:firstLineChars="200"/>
        <w:rPr>
          <w:rFonts w:ascii="黑体" w:hAnsi="黑体" w:eastAsia="黑体"/>
          <w:sz w:val="32"/>
          <w:szCs w:val="32"/>
        </w:rPr>
      </w:pPr>
      <w:r>
        <w:rPr>
          <w:rFonts w:hint="eastAsia" w:ascii="黑体" w:hAnsi="黑体" w:eastAsia="黑体"/>
          <w:sz w:val="32"/>
          <w:szCs w:val="32"/>
        </w:rPr>
        <w:t>四、明确法制审核工作要求，提高法制审核质量</w:t>
      </w:r>
    </w:p>
    <w:p w14:paraId="023F38EE">
      <w:pPr>
        <w:spacing w:line="560" w:lineRule="exact"/>
        <w:ind w:firstLine="640" w:firstLineChars="200"/>
        <w:rPr>
          <w:rFonts w:ascii="仿宋" w:hAnsi="仿宋" w:eastAsia="仿宋"/>
          <w:sz w:val="32"/>
          <w:szCs w:val="32"/>
        </w:rPr>
      </w:pPr>
      <w:r>
        <w:rPr>
          <w:rFonts w:hint="eastAsia" w:ascii="仿宋" w:hAnsi="仿宋" w:eastAsia="仿宋"/>
          <w:sz w:val="32"/>
          <w:szCs w:val="32"/>
        </w:rPr>
        <w:t>实施重大执法决定法制审核就是要实现执法监督关口前移，从源头上规范行政执法行为，有效避免违法和不当行为发生。各行政执法</w:t>
      </w:r>
      <w:r>
        <w:rPr>
          <w:rFonts w:hint="eastAsia" w:ascii="仿宋" w:hAnsi="仿宋" w:eastAsia="仿宋"/>
          <w:sz w:val="32"/>
          <w:szCs w:val="32"/>
          <w:lang w:val="en-US" w:eastAsia="zh-CN"/>
        </w:rPr>
        <w:t>股</w:t>
      </w:r>
      <w:r>
        <w:rPr>
          <w:rFonts w:hint="eastAsia" w:ascii="仿宋" w:hAnsi="仿宋" w:eastAsia="仿宋"/>
          <w:sz w:val="32"/>
          <w:szCs w:val="32"/>
        </w:rPr>
        <w:t>室要严格落实重大执法决定法制审核制度。从事法制审核工作人员在对执法决定进行审核过程中，要明确审核标准，规范审核程序，强化审核责任，严格依法提出审核意见。各行政执法科室要尊重法制机构的审核意见，依法作出决定，确保行政执法机关作出的每一项重大执法决定都合法适当，提高行政执法的公正性和权威性。</w:t>
      </w:r>
    </w:p>
    <w:p w14:paraId="65BDF23D">
      <w:pPr>
        <w:spacing w:line="560" w:lineRule="exact"/>
        <w:rPr>
          <w:rFonts w:eastAsia="仿宋"/>
          <w:sz w:val="32"/>
          <w:szCs w:val="32"/>
        </w:rPr>
      </w:pPr>
      <w:r>
        <w:rPr>
          <w:rFonts w:eastAsia="仿宋"/>
          <w:sz w:val="32"/>
          <w:szCs w:val="32"/>
        </w:rPr>
        <w:t> </w:t>
      </w:r>
    </w:p>
    <w:p w14:paraId="5AAB480C">
      <w:pPr>
        <w:spacing w:line="560" w:lineRule="exact"/>
        <w:ind w:firstLine="640" w:firstLineChars="200"/>
        <w:rPr>
          <w:rFonts w:eastAsia="仿宋"/>
          <w:sz w:val="32"/>
          <w:szCs w:val="32"/>
        </w:rPr>
      </w:pPr>
      <w:r>
        <w:rPr>
          <w:rFonts w:hint="eastAsia" w:eastAsia="仿宋"/>
          <w:sz w:val="32"/>
          <w:szCs w:val="32"/>
        </w:rPr>
        <w:t>附件：</w:t>
      </w:r>
      <w:r>
        <w:rPr>
          <w:rFonts w:hint="eastAsia" w:eastAsia="仿宋"/>
          <w:sz w:val="32"/>
          <w:szCs w:val="32"/>
          <w:lang w:val="en-US" w:eastAsia="zh-CN"/>
        </w:rPr>
        <w:t>桓仁满族自治县</w:t>
      </w:r>
      <w:r>
        <w:rPr>
          <w:rFonts w:hint="eastAsia" w:eastAsia="仿宋"/>
          <w:sz w:val="32"/>
          <w:szCs w:val="32"/>
        </w:rPr>
        <w:t>财政局法制审核人员定期培训制度</w:t>
      </w:r>
    </w:p>
    <w:p w14:paraId="72E6C794">
      <w:pPr>
        <w:spacing w:line="560" w:lineRule="exact"/>
        <w:ind w:firstLine="640" w:firstLineChars="200"/>
        <w:rPr>
          <w:rFonts w:eastAsia="仿宋"/>
          <w:sz w:val="32"/>
          <w:szCs w:val="32"/>
        </w:rPr>
      </w:pPr>
    </w:p>
    <w:p w14:paraId="28DA767E">
      <w:pPr>
        <w:spacing w:line="560" w:lineRule="exact"/>
        <w:ind w:firstLine="640" w:firstLineChars="200"/>
        <w:rPr>
          <w:rFonts w:eastAsia="仿宋"/>
          <w:sz w:val="32"/>
          <w:szCs w:val="32"/>
        </w:rPr>
      </w:pPr>
    </w:p>
    <w:p w14:paraId="16952160">
      <w:pPr>
        <w:spacing w:line="560" w:lineRule="exact"/>
        <w:jc w:val="center"/>
        <w:rPr>
          <w:rFonts w:ascii="仿宋" w:hAnsi="仿宋" w:eastAsia="仿宋"/>
          <w:sz w:val="32"/>
          <w:szCs w:val="32"/>
        </w:rPr>
      </w:pPr>
      <w:r>
        <w:rPr>
          <w:rFonts w:eastAsia="仿宋"/>
          <w:sz w:val="32"/>
          <w:szCs w:val="32"/>
        </w:rPr>
        <w:t xml:space="preserve">                       </w:t>
      </w:r>
      <w:r>
        <w:rPr>
          <w:rFonts w:hint="eastAsia" w:eastAsia="仿宋"/>
          <w:sz w:val="32"/>
          <w:szCs w:val="32"/>
          <w:lang w:val="en-US" w:eastAsia="zh-CN"/>
        </w:rPr>
        <w:t>桓仁满族自治县财政局</w:t>
      </w:r>
      <w:r>
        <w:rPr>
          <w:rFonts w:hint="eastAsia" w:eastAsia="仿宋"/>
          <w:sz w:val="32"/>
          <w:szCs w:val="32"/>
          <w:lang w:val="en-US" w:eastAsia="zh-CN"/>
        </w:rPr>
        <w:br w:type="textWrapping"/>
      </w:r>
      <w:r>
        <w:rPr>
          <w:rFonts w:ascii="仿宋" w:hAnsi="仿宋" w:eastAsia="仿宋"/>
          <w:sz w:val="32"/>
          <w:szCs w:val="32"/>
        </w:rPr>
        <w:t xml:space="preserve">                        2019</w:t>
      </w:r>
      <w:r>
        <w:rPr>
          <w:rFonts w:hint="eastAsia" w:ascii="仿宋" w:hAnsi="仿宋" w:eastAsia="仿宋"/>
          <w:sz w:val="32"/>
          <w:szCs w:val="32"/>
        </w:rPr>
        <w:t>年</w:t>
      </w:r>
      <w:r>
        <w:rPr>
          <w:rFonts w:ascii="仿宋" w:hAnsi="仿宋" w:eastAsia="仿宋"/>
          <w:sz w:val="32"/>
          <w:szCs w:val="32"/>
        </w:rPr>
        <w:t>8</w:t>
      </w:r>
      <w:r>
        <w:rPr>
          <w:rFonts w:hint="eastAsia" w:ascii="仿宋" w:hAnsi="仿宋" w:eastAsia="仿宋"/>
          <w:sz w:val="32"/>
          <w:szCs w:val="32"/>
        </w:rPr>
        <w:t>月</w:t>
      </w:r>
      <w:r>
        <w:rPr>
          <w:rFonts w:ascii="仿宋" w:hAnsi="仿宋" w:eastAsia="仿宋"/>
          <w:sz w:val="32"/>
          <w:szCs w:val="32"/>
        </w:rPr>
        <w:t>20</w:t>
      </w:r>
      <w:r>
        <w:rPr>
          <w:rFonts w:hint="eastAsia" w:ascii="仿宋" w:hAnsi="仿宋" w:eastAsia="仿宋"/>
          <w:sz w:val="32"/>
          <w:szCs w:val="32"/>
        </w:rPr>
        <w:t>日</w:t>
      </w:r>
    </w:p>
    <w:p w14:paraId="11C320A5">
      <w:pPr>
        <w:spacing w:line="560" w:lineRule="exact"/>
        <w:rPr>
          <w:rFonts w:ascii="黑体" w:hAnsi="黑体" w:eastAsia="黑体"/>
          <w:sz w:val="32"/>
          <w:szCs w:val="32"/>
        </w:rPr>
        <w:sectPr>
          <w:footerReference r:id="rId3" w:type="default"/>
          <w:pgSz w:w="11906" w:h="16838"/>
          <w:pgMar w:top="2098" w:right="1474" w:bottom="1871" w:left="1587" w:header="851" w:footer="1474" w:gutter="0"/>
          <w:pgNumType w:fmt="numberInDash"/>
          <w:cols w:space="720" w:num="1"/>
          <w:docGrid w:type="lines" w:linePitch="312" w:charSpace="0"/>
        </w:sectPr>
      </w:pPr>
    </w:p>
    <w:p w14:paraId="3039F4B1">
      <w:pPr>
        <w:rPr>
          <w:rFonts w:ascii="黑体" w:hAnsi="黑体" w:eastAsia="黑体"/>
          <w:sz w:val="32"/>
          <w:szCs w:val="32"/>
        </w:rPr>
      </w:pPr>
      <w:r>
        <w:rPr>
          <w:rFonts w:hint="eastAsia" w:ascii="黑体" w:hAnsi="黑体" w:eastAsia="黑体"/>
          <w:sz w:val="32"/>
          <w:szCs w:val="32"/>
        </w:rPr>
        <w:t>附件</w:t>
      </w:r>
    </w:p>
    <w:p w14:paraId="51BEE469">
      <w:pPr>
        <w:rPr>
          <w:rFonts w:ascii="黑体" w:hAnsi="黑体" w:eastAsia="黑体"/>
          <w:szCs w:val="21"/>
        </w:rPr>
      </w:pPr>
    </w:p>
    <w:p w14:paraId="6D277EB3">
      <w:pPr>
        <w:jc w:val="center"/>
        <w:rPr>
          <w:rFonts w:hint="eastAsia" w:ascii="宋体" w:hAnsi="宋体"/>
          <w:sz w:val="44"/>
          <w:szCs w:val="44"/>
        </w:rPr>
      </w:pPr>
      <w:r>
        <w:rPr>
          <w:rFonts w:hint="eastAsia" w:ascii="宋体" w:hAnsi="宋体"/>
          <w:sz w:val="44"/>
          <w:szCs w:val="44"/>
          <w:lang w:val="en-US" w:eastAsia="zh-CN"/>
        </w:rPr>
        <w:t>桓仁满族自治县</w:t>
      </w:r>
      <w:r>
        <w:rPr>
          <w:rFonts w:hint="eastAsia" w:ascii="宋体" w:hAnsi="宋体"/>
          <w:sz w:val="44"/>
          <w:szCs w:val="44"/>
        </w:rPr>
        <w:t>财政局法制审核人员</w:t>
      </w:r>
    </w:p>
    <w:p w14:paraId="07FEA2DF">
      <w:pPr>
        <w:jc w:val="center"/>
        <w:rPr>
          <w:rFonts w:ascii="宋体"/>
          <w:sz w:val="44"/>
          <w:szCs w:val="44"/>
        </w:rPr>
      </w:pPr>
      <w:r>
        <w:rPr>
          <w:rFonts w:hint="eastAsia" w:ascii="宋体" w:hAnsi="宋体"/>
          <w:sz w:val="44"/>
          <w:szCs w:val="44"/>
        </w:rPr>
        <w:t>定期培训制度</w:t>
      </w:r>
    </w:p>
    <w:p w14:paraId="12B7698D">
      <w:pPr>
        <w:rPr>
          <w:rFonts w:ascii="仿宋" w:hAnsi="仿宋" w:eastAsia="仿宋"/>
          <w:sz w:val="24"/>
          <w:szCs w:val="24"/>
        </w:rPr>
      </w:pPr>
    </w:p>
    <w:p w14:paraId="0929D5B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r>
        <w:rPr>
          <w:rFonts w:hint="eastAsia" w:ascii="黑体" w:hAnsi="黑体" w:eastAsia="黑体"/>
          <w:sz w:val="32"/>
          <w:szCs w:val="32"/>
        </w:rPr>
        <w:t>第一条</w:t>
      </w:r>
      <w:r>
        <w:rPr>
          <w:rFonts w:ascii="仿宋" w:hAnsi="仿宋" w:eastAsia="仿宋"/>
          <w:sz w:val="32"/>
          <w:szCs w:val="32"/>
        </w:rPr>
        <w:t xml:space="preserve">  </w:t>
      </w:r>
      <w:r>
        <w:rPr>
          <w:rFonts w:hint="eastAsia" w:ascii="仿宋" w:hAnsi="仿宋" w:eastAsia="仿宋"/>
          <w:sz w:val="32"/>
          <w:szCs w:val="32"/>
        </w:rPr>
        <w:t>为认真落实推进行政执法“三项制度”改革，切实提高行政执法机关法制审核人员法律素养和业务能力，保障法制审核人员正确运用法律、法规、规章履行职责，结合我局实际，制定本制度。</w:t>
      </w:r>
    </w:p>
    <w:p w14:paraId="1649B496">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r>
        <w:rPr>
          <w:rFonts w:hint="eastAsia" w:ascii="黑体" w:hAnsi="黑体" w:eastAsia="黑体"/>
          <w:sz w:val="32"/>
          <w:szCs w:val="32"/>
        </w:rPr>
        <w:t>第二条</w:t>
      </w:r>
      <w:r>
        <w:rPr>
          <w:rFonts w:ascii="仿宋" w:hAnsi="仿宋" w:eastAsia="仿宋"/>
          <w:sz w:val="32"/>
          <w:szCs w:val="32"/>
        </w:rPr>
        <w:t xml:space="preserve">  </w:t>
      </w:r>
      <w:r>
        <w:rPr>
          <w:rFonts w:hint="eastAsia" w:ascii="仿宋" w:hAnsi="仿宋" w:eastAsia="仿宋"/>
          <w:sz w:val="32"/>
          <w:szCs w:val="32"/>
        </w:rPr>
        <w:t>本制度适用于局机关和</w:t>
      </w:r>
      <w:r>
        <w:rPr>
          <w:rFonts w:hint="eastAsia" w:ascii="仿宋" w:hAnsi="仿宋" w:eastAsia="仿宋"/>
          <w:sz w:val="32"/>
          <w:szCs w:val="32"/>
          <w:lang w:eastAsia="zh-CN"/>
        </w:rPr>
        <w:t>县</w:t>
      </w:r>
      <w:r>
        <w:rPr>
          <w:rFonts w:hint="eastAsia" w:ascii="仿宋" w:hAnsi="仿宋" w:eastAsia="仿宋"/>
          <w:sz w:val="32"/>
          <w:szCs w:val="32"/>
          <w:lang w:val="en-US" w:eastAsia="zh-CN"/>
        </w:rPr>
        <w:t>公共</w:t>
      </w:r>
      <w:r>
        <w:rPr>
          <w:rFonts w:hint="eastAsia" w:ascii="仿宋" w:hAnsi="仿宋" w:eastAsia="仿宋"/>
          <w:sz w:val="32"/>
          <w:szCs w:val="32"/>
        </w:rPr>
        <w:t>财政事务服务中心从事重大执法决定的法制审核人员。</w:t>
      </w:r>
    </w:p>
    <w:p w14:paraId="6EC555B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r>
        <w:rPr>
          <w:rFonts w:hint="eastAsia" w:ascii="黑体" w:hAnsi="黑体" w:eastAsia="黑体"/>
          <w:sz w:val="32"/>
          <w:szCs w:val="32"/>
        </w:rPr>
        <w:t>第三条</w:t>
      </w:r>
      <w:r>
        <w:rPr>
          <w:rFonts w:ascii="仿宋" w:hAnsi="仿宋" w:eastAsia="仿宋"/>
          <w:b/>
          <w:sz w:val="32"/>
          <w:szCs w:val="32"/>
        </w:rPr>
        <w:t xml:space="preserve">  </w:t>
      </w:r>
      <w:r>
        <w:rPr>
          <w:rFonts w:hint="eastAsia" w:ascii="仿宋" w:hAnsi="仿宋" w:eastAsia="仿宋"/>
          <w:sz w:val="32"/>
          <w:szCs w:val="32"/>
        </w:rPr>
        <w:t>法制审核人员为局机关和</w:t>
      </w:r>
      <w:r>
        <w:rPr>
          <w:rFonts w:hint="eastAsia" w:ascii="仿宋" w:hAnsi="仿宋" w:eastAsia="仿宋"/>
          <w:sz w:val="32"/>
          <w:szCs w:val="32"/>
          <w:lang w:val="en-US" w:eastAsia="zh-CN"/>
        </w:rPr>
        <w:t>执法股室</w:t>
      </w:r>
      <w:bookmarkStart w:id="0" w:name="_GoBack"/>
      <w:bookmarkEnd w:id="0"/>
      <w:r>
        <w:rPr>
          <w:rFonts w:hint="eastAsia" w:ascii="仿宋" w:hAnsi="仿宋" w:eastAsia="仿宋"/>
          <w:sz w:val="32"/>
          <w:szCs w:val="32"/>
        </w:rPr>
        <w:t>的工作人员，在进行重大执法决定审核时应该恪尽职守，秉公办事，清正廉洁，严格执法。</w:t>
      </w:r>
    </w:p>
    <w:p w14:paraId="59845CC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r>
        <w:rPr>
          <w:rFonts w:hint="eastAsia" w:ascii="黑体" w:hAnsi="黑体" w:eastAsia="黑体"/>
          <w:sz w:val="32"/>
          <w:szCs w:val="32"/>
        </w:rPr>
        <w:t>第四条</w:t>
      </w:r>
      <w:r>
        <w:rPr>
          <w:rFonts w:ascii="仿宋" w:hAnsi="仿宋" w:eastAsia="仿宋"/>
          <w:b/>
          <w:sz w:val="32"/>
          <w:szCs w:val="32"/>
        </w:rPr>
        <w:t xml:space="preserve">  </w:t>
      </w:r>
      <w:r>
        <w:rPr>
          <w:rFonts w:hint="eastAsia" w:ascii="仿宋" w:hAnsi="仿宋" w:eastAsia="仿宋"/>
          <w:sz w:val="32"/>
          <w:szCs w:val="32"/>
        </w:rPr>
        <w:t>局机关要定期组织开展法制审核人员培训。</w:t>
      </w:r>
    </w:p>
    <w:p w14:paraId="337ED046">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cs="Times New Roman"/>
          <w:sz w:val="32"/>
          <w:szCs w:val="32"/>
        </w:rPr>
      </w:pPr>
      <w:r>
        <w:rPr>
          <w:rFonts w:hint="eastAsia" w:ascii="黑体" w:hAnsi="黑体" w:eastAsia="黑体"/>
          <w:sz w:val="32"/>
          <w:szCs w:val="32"/>
        </w:rPr>
        <w:t>第五条</w:t>
      </w:r>
      <w:r>
        <w:rPr>
          <w:rFonts w:ascii="仿宋" w:hAnsi="仿宋" w:eastAsia="仿宋"/>
          <w:b/>
          <w:sz w:val="32"/>
          <w:szCs w:val="32"/>
        </w:rPr>
        <w:t xml:space="preserve">  </w:t>
      </w:r>
      <w:r>
        <w:rPr>
          <w:rFonts w:hint="eastAsia" w:ascii="仿宋" w:hAnsi="仿宋" w:eastAsia="仿宋" w:cs="Times New Roman"/>
          <w:sz w:val="32"/>
          <w:szCs w:val="32"/>
        </w:rPr>
        <w:t>法制审核人员学习培训内容包括：</w:t>
      </w:r>
    </w:p>
    <w:p w14:paraId="259F045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cs="Times New Roman"/>
          <w:sz w:val="32"/>
          <w:szCs w:val="32"/>
        </w:rPr>
      </w:pPr>
      <w:r>
        <w:rPr>
          <w:rFonts w:hint="eastAsia" w:ascii="仿宋" w:hAnsi="仿宋" w:eastAsia="仿宋" w:cs="Times New Roman"/>
          <w:sz w:val="32"/>
          <w:szCs w:val="32"/>
        </w:rPr>
        <w:t>（一）</w:t>
      </w:r>
      <w:r>
        <w:rPr>
          <w:rFonts w:hint="eastAsia" w:ascii="仿宋" w:hAnsi="仿宋" w:eastAsia="仿宋"/>
          <w:sz w:val="32"/>
          <w:szCs w:val="32"/>
        </w:rPr>
        <w:t>党的路线、方针、政策，中央领导关于依法治国的重要论述；</w:t>
      </w:r>
    </w:p>
    <w:p w14:paraId="57020D6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r>
        <w:rPr>
          <w:rFonts w:hint="eastAsia" w:ascii="仿宋" w:hAnsi="仿宋" w:eastAsia="仿宋"/>
          <w:sz w:val="32"/>
          <w:szCs w:val="32"/>
        </w:rPr>
        <w:t>（二）宪法以及国家相关基本法律知识；</w:t>
      </w:r>
    </w:p>
    <w:p w14:paraId="56A2A0D6">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r>
        <w:rPr>
          <w:rFonts w:hint="eastAsia" w:ascii="仿宋" w:hAnsi="仿宋" w:eastAsia="仿宋"/>
          <w:sz w:val="32"/>
          <w:szCs w:val="32"/>
        </w:rPr>
        <w:t>（三）《行政处罚法》《行政许可法》《行政强制法》《行政诉讼法》《行政复议法》《国家赔偿法》等公共法律知识；</w:t>
      </w:r>
    </w:p>
    <w:p w14:paraId="379477A3">
      <w:pPr>
        <w:pStyle w:val="4"/>
        <w:keepNext w:val="0"/>
        <w:keepLines w:val="0"/>
        <w:pageBreakBefore w:val="0"/>
        <w:kinsoku/>
        <w:wordWrap/>
        <w:overflowPunct/>
        <w:topLinePunct w:val="0"/>
        <w:autoSpaceDE/>
        <w:autoSpaceDN/>
        <w:bidi w:val="0"/>
        <w:adjustRightInd/>
        <w:snapToGrid/>
        <w:spacing w:line="520" w:lineRule="exact"/>
        <w:ind w:firstLine="604"/>
        <w:jc w:val="both"/>
        <w:textAlignment w:val="auto"/>
        <w:rPr>
          <w:rFonts w:ascii="仿宋" w:hAnsi="仿宋" w:eastAsia="仿宋" w:cs="Times New Roman"/>
          <w:sz w:val="32"/>
          <w:szCs w:val="32"/>
        </w:rPr>
      </w:pPr>
      <w:r>
        <w:rPr>
          <w:rFonts w:hint="eastAsia" w:ascii="仿宋" w:hAnsi="仿宋" w:eastAsia="仿宋"/>
          <w:sz w:val="32"/>
          <w:szCs w:val="32"/>
        </w:rPr>
        <w:t>（四）</w:t>
      </w:r>
      <w:r>
        <w:rPr>
          <w:rFonts w:hint="eastAsia" w:ascii="仿宋" w:hAnsi="仿宋" w:eastAsia="仿宋" w:cs="Times New Roman"/>
          <w:sz w:val="32"/>
          <w:szCs w:val="32"/>
        </w:rPr>
        <w:t>新颁布的法律、法规、规章；</w:t>
      </w:r>
    </w:p>
    <w:p w14:paraId="72460F21">
      <w:pPr>
        <w:pStyle w:val="4"/>
        <w:keepNext w:val="0"/>
        <w:keepLines w:val="0"/>
        <w:pageBreakBefore w:val="0"/>
        <w:kinsoku/>
        <w:wordWrap/>
        <w:overflowPunct/>
        <w:topLinePunct w:val="0"/>
        <w:autoSpaceDE/>
        <w:autoSpaceDN/>
        <w:bidi w:val="0"/>
        <w:adjustRightInd/>
        <w:snapToGrid/>
        <w:spacing w:line="520" w:lineRule="exact"/>
        <w:ind w:firstLine="604"/>
        <w:jc w:val="both"/>
        <w:textAlignment w:val="auto"/>
        <w:rPr>
          <w:rFonts w:ascii="仿宋" w:hAnsi="仿宋" w:eastAsia="仿宋"/>
          <w:sz w:val="32"/>
          <w:szCs w:val="32"/>
        </w:rPr>
      </w:pPr>
      <w:r>
        <w:rPr>
          <w:rFonts w:hint="eastAsia" w:ascii="仿宋" w:hAnsi="仿宋" w:eastAsia="仿宋"/>
          <w:sz w:val="32"/>
          <w:szCs w:val="32"/>
        </w:rPr>
        <w:t>（五）全国人大常委会出台的最新立法解释；</w:t>
      </w:r>
    </w:p>
    <w:p w14:paraId="79ABA657">
      <w:pPr>
        <w:pStyle w:val="4"/>
        <w:keepNext w:val="0"/>
        <w:keepLines w:val="0"/>
        <w:pageBreakBefore w:val="0"/>
        <w:kinsoku/>
        <w:wordWrap/>
        <w:overflowPunct/>
        <w:topLinePunct w:val="0"/>
        <w:autoSpaceDE/>
        <w:autoSpaceDN/>
        <w:bidi w:val="0"/>
        <w:adjustRightInd/>
        <w:snapToGrid/>
        <w:spacing w:line="520" w:lineRule="exact"/>
        <w:ind w:firstLine="604"/>
        <w:jc w:val="both"/>
        <w:textAlignment w:val="auto"/>
        <w:rPr>
          <w:rFonts w:ascii="仿宋" w:hAnsi="仿宋" w:eastAsia="仿宋"/>
          <w:sz w:val="32"/>
          <w:szCs w:val="32"/>
        </w:rPr>
      </w:pPr>
      <w:r>
        <w:rPr>
          <w:rFonts w:hint="eastAsia" w:ascii="仿宋" w:hAnsi="仿宋" w:eastAsia="仿宋"/>
          <w:sz w:val="32"/>
          <w:szCs w:val="32"/>
        </w:rPr>
        <w:t>（六）最高人民法院和最高人民检察院最新出台的司法解释；</w:t>
      </w:r>
    </w:p>
    <w:p w14:paraId="7663C3BE">
      <w:pPr>
        <w:pStyle w:val="4"/>
        <w:keepNext w:val="0"/>
        <w:keepLines w:val="0"/>
        <w:pageBreakBefore w:val="0"/>
        <w:kinsoku/>
        <w:wordWrap/>
        <w:overflowPunct/>
        <w:topLinePunct w:val="0"/>
        <w:autoSpaceDE/>
        <w:autoSpaceDN/>
        <w:bidi w:val="0"/>
        <w:adjustRightInd/>
        <w:snapToGrid/>
        <w:spacing w:line="520" w:lineRule="exact"/>
        <w:ind w:firstLine="604"/>
        <w:jc w:val="both"/>
        <w:textAlignment w:val="auto"/>
        <w:rPr>
          <w:rFonts w:ascii="仿宋" w:hAnsi="仿宋" w:eastAsia="仿宋"/>
          <w:sz w:val="32"/>
          <w:szCs w:val="32"/>
        </w:rPr>
      </w:pPr>
      <w:r>
        <w:rPr>
          <w:rFonts w:hint="eastAsia" w:ascii="仿宋" w:hAnsi="仿宋" w:eastAsia="仿宋"/>
          <w:sz w:val="32"/>
          <w:szCs w:val="32"/>
        </w:rPr>
        <w:t>（七）法律文书的运用与制作；</w:t>
      </w:r>
    </w:p>
    <w:p w14:paraId="31F171F3">
      <w:pPr>
        <w:pStyle w:val="4"/>
        <w:keepNext w:val="0"/>
        <w:keepLines w:val="0"/>
        <w:pageBreakBefore w:val="0"/>
        <w:kinsoku/>
        <w:wordWrap/>
        <w:overflowPunct/>
        <w:topLinePunct w:val="0"/>
        <w:autoSpaceDE/>
        <w:autoSpaceDN/>
        <w:bidi w:val="0"/>
        <w:adjustRightInd/>
        <w:snapToGrid/>
        <w:spacing w:line="520" w:lineRule="exact"/>
        <w:ind w:firstLine="604"/>
        <w:jc w:val="both"/>
        <w:textAlignment w:val="auto"/>
        <w:rPr>
          <w:rFonts w:ascii="仿宋" w:hAnsi="仿宋" w:eastAsia="仿宋"/>
          <w:sz w:val="32"/>
          <w:szCs w:val="32"/>
        </w:rPr>
      </w:pPr>
      <w:r>
        <w:rPr>
          <w:rFonts w:hint="eastAsia" w:ascii="仿宋" w:hAnsi="仿宋" w:eastAsia="仿宋"/>
          <w:sz w:val="32"/>
          <w:szCs w:val="32"/>
        </w:rPr>
        <w:t>（八）典型案例解剖、分析；</w:t>
      </w:r>
    </w:p>
    <w:p w14:paraId="2E814ABD">
      <w:pPr>
        <w:pStyle w:val="4"/>
        <w:keepNext w:val="0"/>
        <w:keepLines w:val="0"/>
        <w:pageBreakBefore w:val="0"/>
        <w:kinsoku/>
        <w:wordWrap/>
        <w:overflowPunct/>
        <w:topLinePunct w:val="0"/>
        <w:autoSpaceDE/>
        <w:autoSpaceDN/>
        <w:bidi w:val="0"/>
        <w:adjustRightInd/>
        <w:snapToGrid/>
        <w:spacing w:line="520" w:lineRule="exact"/>
        <w:ind w:firstLine="604"/>
        <w:jc w:val="both"/>
        <w:textAlignment w:val="auto"/>
        <w:rPr>
          <w:rFonts w:ascii="仿宋" w:hAnsi="仿宋" w:eastAsia="仿宋"/>
          <w:sz w:val="32"/>
          <w:szCs w:val="32"/>
        </w:rPr>
      </w:pPr>
      <w:r>
        <w:rPr>
          <w:rFonts w:hint="eastAsia" w:ascii="仿宋" w:hAnsi="仿宋" w:eastAsia="仿宋"/>
          <w:sz w:val="32"/>
          <w:szCs w:val="32"/>
        </w:rPr>
        <w:t>（九）必须具备的其他有关知识。</w:t>
      </w:r>
    </w:p>
    <w:p w14:paraId="583BD56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r>
        <w:rPr>
          <w:rFonts w:hint="eastAsia" w:ascii="黑体" w:hAnsi="黑体" w:eastAsia="黑体"/>
          <w:sz w:val="32"/>
          <w:szCs w:val="32"/>
        </w:rPr>
        <w:t>第六条</w:t>
      </w:r>
      <w:r>
        <w:rPr>
          <w:rFonts w:ascii="仿宋" w:hAnsi="仿宋" w:eastAsia="仿宋"/>
          <w:b/>
          <w:sz w:val="32"/>
          <w:szCs w:val="32"/>
        </w:rPr>
        <w:t xml:space="preserve">  </w:t>
      </w:r>
      <w:r>
        <w:rPr>
          <w:rFonts w:hint="eastAsia" w:ascii="仿宋" w:hAnsi="仿宋" w:eastAsia="仿宋"/>
          <w:sz w:val="32"/>
          <w:szCs w:val="32"/>
        </w:rPr>
        <w:t>法制审核人员培训采取集中授课与自主学习相结合的方式进行。</w:t>
      </w:r>
    </w:p>
    <w:p w14:paraId="61DBFFA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r>
        <w:rPr>
          <w:rFonts w:hint="eastAsia" w:ascii="仿宋" w:hAnsi="仿宋" w:eastAsia="仿宋"/>
          <w:sz w:val="32"/>
          <w:szCs w:val="32"/>
        </w:rPr>
        <w:t>集中授课主要采取专题讲座、案例教学、交流研讨、座谈调研等多种形式进行，重点对公共法律知识、执法实务等内容学习，提升业务水平，解决处理实际问题能力。</w:t>
      </w:r>
    </w:p>
    <w:p w14:paraId="54DCE2D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r>
        <w:rPr>
          <w:rFonts w:hint="eastAsia" w:ascii="仿宋" w:hAnsi="仿宋" w:eastAsia="仿宋"/>
          <w:sz w:val="32"/>
          <w:szCs w:val="32"/>
        </w:rPr>
        <w:t>自主学习主要采取个人参加系统轮训、网络学习的方式进行，重点对本系统执行的法律法规等内容学习，全面掌握本系统的法律法规规章及有关政策。</w:t>
      </w:r>
    </w:p>
    <w:p w14:paraId="6631000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cs="仿宋_GB2312"/>
          <w:sz w:val="32"/>
          <w:szCs w:val="32"/>
        </w:rPr>
      </w:pPr>
      <w:r>
        <w:rPr>
          <w:rFonts w:hint="eastAsia" w:ascii="黑体" w:hAnsi="黑体" w:eastAsia="黑体" w:cs="仿宋_GB2312"/>
          <w:sz w:val="32"/>
          <w:szCs w:val="32"/>
        </w:rPr>
        <w:t>第七条</w:t>
      </w:r>
      <w:r>
        <w:rPr>
          <w:rFonts w:ascii="仿宋" w:hAnsi="仿宋" w:eastAsia="仿宋" w:cs="仿宋_GB2312"/>
          <w:sz w:val="32"/>
          <w:szCs w:val="32"/>
        </w:rPr>
        <w:t xml:space="preserve">  </w:t>
      </w:r>
      <w:r>
        <w:rPr>
          <w:rFonts w:hint="eastAsia" w:ascii="仿宋" w:hAnsi="仿宋" w:eastAsia="仿宋" w:cs="仿宋_GB2312"/>
          <w:sz w:val="32"/>
          <w:szCs w:val="32"/>
        </w:rPr>
        <w:t>法制审核人员每年学法培训不少于</w:t>
      </w:r>
      <w:r>
        <w:rPr>
          <w:rFonts w:ascii="仿宋" w:hAnsi="仿宋" w:eastAsia="仿宋" w:cs="仿宋_GB2312"/>
          <w:sz w:val="32"/>
          <w:szCs w:val="32"/>
        </w:rPr>
        <w:t>7</w:t>
      </w:r>
      <w:r>
        <w:rPr>
          <w:rFonts w:hint="eastAsia" w:ascii="仿宋" w:hAnsi="仿宋" w:eastAsia="仿宋" w:cs="仿宋_GB2312"/>
          <w:sz w:val="32"/>
          <w:szCs w:val="32"/>
        </w:rPr>
        <w:t>日，主要采取参加系统轮训、相关部门集中培训、网络学习和集中学习的方式进行，其中集中学习不少于</w:t>
      </w:r>
      <w:r>
        <w:rPr>
          <w:rFonts w:ascii="仿宋" w:hAnsi="仿宋" w:eastAsia="仿宋" w:cs="仿宋_GB2312"/>
          <w:sz w:val="32"/>
          <w:szCs w:val="32"/>
        </w:rPr>
        <w:t>5</w:t>
      </w:r>
      <w:r>
        <w:rPr>
          <w:rFonts w:hint="eastAsia" w:ascii="仿宋" w:hAnsi="仿宋" w:eastAsia="仿宋" w:cs="仿宋_GB2312"/>
          <w:sz w:val="32"/>
          <w:szCs w:val="32"/>
        </w:rPr>
        <w:t>日。</w:t>
      </w:r>
    </w:p>
    <w:p w14:paraId="0F7778D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r>
        <w:rPr>
          <w:rFonts w:hint="eastAsia" w:ascii="仿宋" w:hAnsi="仿宋" w:eastAsia="仿宋"/>
          <w:sz w:val="32"/>
          <w:szCs w:val="32"/>
        </w:rPr>
        <w:t>法制审核人员培训要积极推行、案例教学等多种培训方式，不断提高法制审核人员法律素养和业务能力。</w:t>
      </w:r>
    </w:p>
    <w:p w14:paraId="4FAC1DE8">
      <w:pPr>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32"/>
          <w:szCs w:val="32"/>
        </w:rPr>
      </w:pPr>
      <w:r>
        <w:rPr>
          <w:rFonts w:ascii="黑体" w:hAnsi="黑体" w:eastAsia="黑体"/>
          <w:sz w:val="32"/>
          <w:szCs w:val="32"/>
        </w:rPr>
        <w:t xml:space="preserve">    </w:t>
      </w:r>
      <w:r>
        <w:rPr>
          <w:rFonts w:hint="eastAsia" w:ascii="黑体" w:hAnsi="黑体" w:eastAsia="黑体"/>
          <w:sz w:val="32"/>
          <w:szCs w:val="32"/>
        </w:rPr>
        <w:t>第八条</w:t>
      </w:r>
      <w:r>
        <w:rPr>
          <w:rFonts w:ascii="仿宋" w:hAnsi="仿宋" w:eastAsia="仿宋"/>
          <w:sz w:val="32"/>
          <w:szCs w:val="32"/>
        </w:rPr>
        <w:t xml:space="preserve">  </w:t>
      </w:r>
      <w:r>
        <w:rPr>
          <w:rFonts w:hint="eastAsia" w:ascii="仿宋" w:hAnsi="仿宋" w:eastAsia="仿宋"/>
          <w:sz w:val="32"/>
          <w:szCs w:val="32"/>
        </w:rPr>
        <w:t>建立法制审核工作人员培训档案。</w:t>
      </w:r>
    </w:p>
    <w:p w14:paraId="7BC3D725">
      <w:pPr>
        <w:keepNext w:val="0"/>
        <w:keepLines w:val="0"/>
        <w:pageBreakBefore w:val="0"/>
        <w:kinsoku/>
        <w:wordWrap/>
        <w:overflowPunct/>
        <w:topLinePunct w:val="0"/>
        <w:autoSpaceDE/>
        <w:autoSpaceDN/>
        <w:bidi w:val="0"/>
        <w:adjustRightInd/>
        <w:snapToGrid/>
        <w:spacing w:line="520" w:lineRule="exact"/>
        <w:textAlignment w:val="auto"/>
        <w:rPr>
          <w:rFonts w:eastAsia="仿宋"/>
          <w:sz w:val="32"/>
          <w:szCs w:val="32"/>
        </w:rPr>
      </w:pPr>
      <w:r>
        <w:rPr>
          <w:rFonts w:ascii="黑体" w:hAnsi="黑体" w:eastAsia="黑体"/>
          <w:sz w:val="32"/>
          <w:szCs w:val="32"/>
        </w:rPr>
        <w:t xml:space="preserve">    </w:t>
      </w:r>
      <w:r>
        <w:rPr>
          <w:rFonts w:hint="eastAsia" w:ascii="黑体" w:hAnsi="黑体" w:eastAsia="黑体"/>
          <w:sz w:val="32"/>
          <w:szCs w:val="32"/>
        </w:rPr>
        <w:t>第九条</w:t>
      </w:r>
      <w:r>
        <w:rPr>
          <w:rFonts w:ascii="仿宋" w:hAnsi="仿宋" w:eastAsia="仿宋"/>
          <w:sz w:val="32"/>
          <w:szCs w:val="32"/>
        </w:rPr>
        <w:t xml:space="preserve">  </w:t>
      </w:r>
      <w:r>
        <w:rPr>
          <w:rFonts w:hint="eastAsia" w:ascii="仿宋" w:hAnsi="仿宋" w:eastAsia="仿宋"/>
          <w:sz w:val="32"/>
          <w:szCs w:val="32"/>
        </w:rPr>
        <w:t>支持鼓励法制审核人员参加法律学历教育和法律职业资格考试。</w:t>
      </w:r>
    </w:p>
    <w:p w14:paraId="5CF646A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rPr>
      </w:pPr>
      <w:r>
        <w:rPr>
          <w:rFonts w:hint="eastAsia" w:ascii="黑体" w:hAnsi="黑体" w:eastAsia="黑体"/>
          <w:sz w:val="32"/>
          <w:szCs w:val="32"/>
        </w:rPr>
        <w:t>第十条</w:t>
      </w:r>
      <w:r>
        <w:rPr>
          <w:rFonts w:ascii="仿宋" w:hAnsi="仿宋" w:eastAsia="仿宋"/>
          <w:sz w:val="32"/>
          <w:szCs w:val="32"/>
        </w:rPr>
        <w:t xml:space="preserve">  </w:t>
      </w:r>
      <w:r>
        <w:rPr>
          <w:rFonts w:hint="eastAsia" w:ascii="仿宋" w:hAnsi="仿宋" w:eastAsia="仿宋"/>
          <w:sz w:val="32"/>
          <w:szCs w:val="32"/>
        </w:rPr>
        <w:t>通过督导的形式对法制审核人员的教育培训效果进行检查，确保培训质量和效果。</w:t>
      </w:r>
    </w:p>
    <w:p w14:paraId="3B853D8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黑体" w:hAnsi="黑体" w:eastAsia="黑体"/>
          <w:sz w:val="32"/>
          <w:szCs w:val="32"/>
        </w:rPr>
        <w:t>第十一条</w:t>
      </w:r>
      <w:r>
        <w:rPr>
          <w:rFonts w:ascii="仿宋" w:hAnsi="仿宋" w:eastAsia="仿宋"/>
          <w:sz w:val="32"/>
          <w:szCs w:val="32"/>
        </w:rPr>
        <w:t xml:space="preserve">  </w:t>
      </w:r>
      <w:r>
        <w:rPr>
          <w:rFonts w:hint="eastAsia" w:ascii="仿宋" w:hAnsi="仿宋" w:eastAsia="仿宋"/>
          <w:sz w:val="32"/>
          <w:szCs w:val="32"/>
        </w:rPr>
        <w:t>本制度自</w:t>
      </w:r>
      <w:r>
        <w:rPr>
          <w:rFonts w:ascii="仿宋" w:hAnsi="仿宋" w:eastAsia="仿宋"/>
          <w:sz w:val="32"/>
          <w:szCs w:val="32"/>
        </w:rPr>
        <w:t>2019</w:t>
      </w:r>
      <w:r>
        <w:rPr>
          <w:rFonts w:hint="eastAsia" w:ascii="仿宋" w:hAnsi="仿宋" w:eastAsia="仿宋"/>
          <w:sz w:val="32"/>
          <w:szCs w:val="32"/>
        </w:rPr>
        <w:t>年</w:t>
      </w:r>
      <w:r>
        <w:rPr>
          <w:rFonts w:ascii="仿宋" w:hAnsi="仿宋" w:eastAsia="仿宋"/>
          <w:sz w:val="32"/>
          <w:szCs w:val="32"/>
        </w:rPr>
        <w:t>9</w:t>
      </w:r>
      <w:r>
        <w:rPr>
          <w:rFonts w:hint="eastAsia" w:ascii="仿宋" w:hAnsi="仿宋" w:eastAsia="仿宋"/>
          <w:sz w:val="32"/>
          <w:szCs w:val="32"/>
        </w:rPr>
        <w:t>月</w:t>
      </w:r>
      <w:r>
        <w:rPr>
          <w:rFonts w:ascii="仿宋" w:hAnsi="仿宋" w:eastAsia="仿宋"/>
          <w:sz w:val="32"/>
          <w:szCs w:val="32"/>
        </w:rPr>
        <w:t>1</w:t>
      </w:r>
      <w:r>
        <w:rPr>
          <w:rFonts w:hint="eastAsia" w:ascii="仿宋" w:hAnsi="仿宋" w:eastAsia="仿宋"/>
          <w:sz w:val="32"/>
          <w:szCs w:val="32"/>
        </w:rPr>
        <w:t>日起施行。</w:t>
      </w:r>
    </w:p>
    <w:p w14:paraId="1FB37BF7">
      <w:pPr>
        <w:keepNext w:val="0"/>
        <w:keepLines w:val="0"/>
        <w:pageBreakBefore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p>
    <w:p w14:paraId="41DF81B9">
      <w:pPr>
        <w:keepNext w:val="0"/>
        <w:keepLines w:val="0"/>
        <w:pageBreakBefore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p>
    <w:p w14:paraId="06F4F65F">
      <w:pPr>
        <w:keepNext w:val="0"/>
        <w:keepLines w:val="0"/>
        <w:pageBreakBefore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lang w:val="en-US"/>
        </w:rPr>
        <w:pict>
          <v:line id="直接连接符 4" o:spid="_x0000_s1028" o:spt="20" style="position:absolute;left:0pt;margin-left:-0.75pt;margin-top:28.05pt;height:0.05pt;width:441pt;z-index:251660288;mso-width-relative:page;mso-height-relative:page;" o:preferrelative="t" coordsize="21600,21600">
            <v:path arrowok="t"/>
            <v:fill focussize="0,0"/>
            <v:stroke weight="1pt" miterlimit="2"/>
            <v:imagedata o:title=""/>
            <o:lock v:ext="edit"/>
          </v:line>
        </w:pict>
      </w:r>
      <w:r>
        <w:rPr>
          <w:rFonts w:hint="eastAsia" w:ascii="仿宋" w:hAnsi="仿宋" w:eastAsia="仿宋" w:cs="仿宋"/>
          <w:sz w:val="32"/>
          <w:szCs w:val="32"/>
        </w:rPr>
        <w:pict>
          <v:line id="直接连接符 2" o:spid="_x0000_s1027" o:spt="20" style="position:absolute;left:0pt;margin-left:-0.75pt;margin-top:2pt;height:0.05pt;width:441pt;z-index:251659264;mso-width-relative:page;mso-height-relative:page;" o:preferrelative="t" coordsize="21600,21600">
            <v:path arrowok="t"/>
            <v:fill focussize="0,0"/>
            <v:stroke weight="1pt" miterlimit="2"/>
            <v:imagedata o:title=""/>
            <o:lock v:ext="edit"/>
          </v:line>
        </w:pict>
      </w:r>
      <w:r>
        <w:rPr>
          <w:rFonts w:hint="eastAsia" w:ascii="仿宋" w:hAnsi="仿宋" w:eastAsia="仿宋" w:cs="仿宋"/>
          <w:sz w:val="32"/>
          <w:szCs w:val="32"/>
          <w:lang w:val="en-US" w:eastAsia="zh-CN"/>
        </w:rPr>
        <w:t>桓仁满族自治县财政局办公室拟文</w:t>
      </w:r>
      <w:r>
        <w:rPr>
          <w:rFonts w:hint="eastAsia" w:ascii="仿宋" w:hAnsi="仿宋" w:eastAsia="仿宋" w:cs="仿宋"/>
          <w:sz w:val="32"/>
          <w:szCs w:val="32"/>
        </w:rPr>
        <w:t xml:space="preserve">      2019年8月20日印发</w:t>
      </w:r>
    </w:p>
    <w:sectPr>
      <w:pgSz w:w="11906" w:h="16838"/>
      <w:pgMar w:top="1871" w:right="1474" w:bottom="1871" w:left="1587" w:header="851" w:footer="1474"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67D8B">
    <w:pPr>
      <w:pStyle w:val="2"/>
      <w:jc w:val="center"/>
    </w:pPr>
    <w:r>
      <w:pict>
        <v:shape id="_x0000_s2049" o:spid="_x0000_s2049" o:spt="202" type="#_x0000_t202" style="position:absolute;left:0pt;margin-top:0pt;height:144pt;width:144pt;mso-position-horizontal:outside;mso-position-horizontal-relative:margin;mso-wrap-style:none;z-index:251661312;mso-width-relative:page;mso-height-relative:page;" filled="f" o:preferrelative="t" stroked="f" coordsize="21600,21600">
          <v:path/>
          <v:fill on="f" focussize="0,0"/>
          <v:stroke on="f" joinstyle="miter"/>
          <v:imagedata o:title=""/>
          <o:lock v:ext="edit"/>
          <v:textbox inset="0mm,0mm,0mm,0mm" style="mso-fit-shape-to-text:t;">
            <w:txbxContent>
              <w:p w14:paraId="2A8D9A40">
                <w:pPr>
                  <w:pStyle w:val="2"/>
                  <w:ind w:left="420" w:leftChars="200" w:right="420" w:rightChars="200"/>
                  <w:jc w:val="center"/>
                </w:pPr>
                <w:r>
                  <w:rPr>
                    <w:rFonts w:ascii="仿宋_GB2312" w:hAnsi="仿宋_GB2312" w:eastAsia="仿宋_GB2312" w:cs="仿宋_GB2312"/>
                    <w:sz w:val="28"/>
                    <w:szCs w:val="28"/>
                  </w:rPr>
                  <w:fldChar w:fldCharType="begin"/>
                </w:r>
                <w:r>
                  <w:rPr>
                    <w:rFonts w:ascii="仿宋_GB2312" w:hAnsi="仿宋_GB2312" w:eastAsia="仿宋_GB2312" w:cs="仿宋_GB2312"/>
                    <w:sz w:val="28"/>
                    <w:szCs w:val="28"/>
                  </w:rPr>
                  <w:instrText xml:space="preserve"> PAGE   \* MERGEFORMAT </w:instrText>
                </w:r>
                <w:r>
                  <w:rPr>
                    <w:rFonts w:ascii="仿宋_GB2312" w:hAnsi="仿宋_GB2312" w:eastAsia="仿宋_GB2312" w:cs="仿宋_GB2312"/>
                    <w:sz w:val="28"/>
                    <w:szCs w:val="28"/>
                  </w:rPr>
                  <w:fldChar w:fldCharType="separate"/>
                </w:r>
                <w:r>
                  <w:rPr>
                    <w:rFonts w:ascii="仿宋_GB2312" w:hAnsi="仿宋_GB2312" w:eastAsia="仿宋_GB2312" w:cs="仿宋_GB2312"/>
                    <w:sz w:val="28"/>
                    <w:szCs w:val="28"/>
                    <w:lang w:val="zh-CN"/>
                  </w:rPr>
                  <w:t>-</w:t>
                </w:r>
                <w:r>
                  <w:rPr>
                    <w:rFonts w:ascii="仿宋_GB2312" w:hAnsi="仿宋_GB2312" w:eastAsia="仿宋_GB2312" w:cs="仿宋_GB2312"/>
                    <w:sz w:val="28"/>
                    <w:szCs w:val="28"/>
                  </w:rPr>
                  <w:t xml:space="preserve"> 6 -</w:t>
                </w:r>
                <w:r>
                  <w:rPr>
                    <w:rFonts w:ascii="仿宋_GB2312" w:hAnsi="仿宋_GB2312" w:eastAsia="仿宋_GB2312" w:cs="仿宋_GB2312"/>
                    <w:sz w:val="28"/>
                    <w:szCs w:val="28"/>
                  </w:rPr>
                  <w:fldChar w:fldCharType="end"/>
                </w:r>
              </w:p>
            </w:txbxContent>
          </v:textbox>
        </v:shape>
      </w:pict>
    </w:r>
  </w:p>
  <w:p w14:paraId="321A3366">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5E4B"/>
    <w:rsid w:val="000D3428"/>
    <w:rsid w:val="0010667E"/>
    <w:rsid w:val="0029201E"/>
    <w:rsid w:val="00422576"/>
    <w:rsid w:val="00491C1D"/>
    <w:rsid w:val="004E2AA9"/>
    <w:rsid w:val="0054740B"/>
    <w:rsid w:val="005C08B0"/>
    <w:rsid w:val="00615E4B"/>
    <w:rsid w:val="0061607A"/>
    <w:rsid w:val="006A6B28"/>
    <w:rsid w:val="00712FCD"/>
    <w:rsid w:val="007443E1"/>
    <w:rsid w:val="00801C2B"/>
    <w:rsid w:val="008855DC"/>
    <w:rsid w:val="008F252F"/>
    <w:rsid w:val="009358A4"/>
    <w:rsid w:val="00963A52"/>
    <w:rsid w:val="00A46BA7"/>
    <w:rsid w:val="00AD5EDE"/>
    <w:rsid w:val="00B33E25"/>
    <w:rsid w:val="00CB5F41"/>
    <w:rsid w:val="00D76B11"/>
    <w:rsid w:val="00DC3278"/>
    <w:rsid w:val="00F00B73"/>
    <w:rsid w:val="00F316E0"/>
    <w:rsid w:val="00FB4CA8"/>
    <w:rsid w:val="0D4654EB"/>
    <w:rsid w:val="13B97439"/>
    <w:rsid w:val="1DDB380A"/>
    <w:rsid w:val="3B4A3101"/>
    <w:rsid w:val="3BA433C9"/>
    <w:rsid w:val="44442BEE"/>
    <w:rsid w:val="65FE3D31"/>
    <w:rsid w:val="798006BC"/>
    <w:rsid w:val="7AC36B4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unhideWhenUsed="0" w:uiPriority="99" w:name="header"/>
    <w:lsdException w:qFormat="1" w:unhideWhenUsed="0" w:uiPriority="99" w:semiHidden="0"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nhideWhenUsed="0" w:uiPriority="99"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9"/>
    <w:semiHidden/>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jc w:val="left"/>
    </w:pPr>
    <w:rPr>
      <w:rFonts w:ascii="宋体" w:hAnsi="宋体" w:cs="宋体"/>
      <w:kern w:val="0"/>
      <w:sz w:val="24"/>
      <w:szCs w:val="24"/>
    </w:rPr>
  </w:style>
  <w:style w:type="character" w:styleId="7">
    <w:name w:val="Strong"/>
    <w:basedOn w:val="6"/>
    <w:qFormat/>
    <w:uiPriority w:val="99"/>
    <w:rPr>
      <w:rFonts w:cs="Times New Roman"/>
      <w:b/>
      <w:bCs/>
    </w:rPr>
  </w:style>
  <w:style w:type="character" w:customStyle="1" w:styleId="8">
    <w:name w:val="Footer Char"/>
    <w:basedOn w:val="6"/>
    <w:link w:val="2"/>
    <w:locked/>
    <w:uiPriority w:val="99"/>
    <w:rPr>
      <w:rFonts w:cs="Times New Roman"/>
      <w:sz w:val="18"/>
      <w:szCs w:val="18"/>
    </w:rPr>
  </w:style>
  <w:style w:type="character" w:customStyle="1" w:styleId="9">
    <w:name w:val="Header Char"/>
    <w:basedOn w:val="6"/>
    <w:link w:val="3"/>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微软中国</Company>
  <Pages>6</Pages>
  <Words>2637</Words>
  <Characters>2681</Characters>
  <Lines>0</Lines>
  <Paragraphs>0</Paragraphs>
  <TotalTime>17</TotalTime>
  <ScaleCrop>false</ScaleCrop>
  <LinksUpToDate>false</LinksUpToDate>
  <CharactersWithSpaces>2773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2019-08-26T08:38:00Z</dcterms:created>
  <dc:creator>Lenovo</dc:creator>
  <cp:lastModifiedBy>取舍。</cp:lastModifiedBy>
  <cp:lastPrinted>2020-11-17T05:47:00Z</cp:lastPrinted>
  <dcterms:modified xsi:type="dcterms:W3CDTF">2025-11-18T02:32:52Z</dcterms:modified>
  <dc:title>本溪市人民政府办公室关于本溪市</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eyJoZGlkIjoiNTQyOTRkMDcwMTcyNzU3YTk2YzkwMjI3YzY1NTU5YTAiLCJ1c2VySWQiOiI2OTA2NjE1MTYifQ==</vt:lpwstr>
  </property>
  <property fmtid="{D5CDD505-2E9C-101B-9397-08002B2CF9AE}" pid="4" name="ICV">
    <vt:lpwstr>9DD7B351834B4530A7DE46078E4F34B5_12</vt:lpwstr>
  </property>
</Properties>
</file>