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tiff" ContentType="image/tif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olors1.xml" ContentType="application/vnd.ms-office.chartcolorstyle+xml"/>
  <Override PartName="/word/charts/style1.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snapToGrid/>
        <w:spacing w:line="360" w:lineRule="auto"/>
        <w:ind w:firstLine="880" w:firstLineChars="200"/>
        <w:rPr>
          <w:rFonts w:ascii="仿宋_GB2312" w:hAnsi="Times New Roman" w:eastAsia="仿宋_GB2312"/>
          <w:color w:val="000000"/>
          <w:sz w:val="44"/>
        </w:rPr>
      </w:pPr>
      <w:bookmarkStart w:id="0" w:name="_Toc306780057"/>
      <w:bookmarkStart w:id="1" w:name="_Toc307053907"/>
      <w:bookmarkStart w:id="2" w:name="_Toc253594476"/>
      <w:bookmarkStart w:id="3" w:name="_Toc306766266"/>
      <w:bookmarkStart w:id="4" w:name="_Toc252935338"/>
      <w:bookmarkStart w:id="5" w:name="_Toc306956197"/>
      <w:bookmarkStart w:id="6" w:name="_Toc94186568"/>
      <w:bookmarkStart w:id="7" w:name="_Toc253743964"/>
      <w:bookmarkStart w:id="8" w:name="_Toc253584908"/>
      <w:bookmarkStart w:id="9" w:name="_Toc94186573"/>
    </w:p>
    <w:p>
      <w:pPr>
        <w:adjustRightInd/>
        <w:snapToGrid/>
        <w:spacing w:line="360" w:lineRule="auto"/>
        <w:ind w:firstLine="880" w:firstLineChars="200"/>
        <w:rPr>
          <w:rFonts w:ascii="仿宋_GB2312" w:hAnsi="Times New Roman" w:eastAsia="仿宋_GB2312"/>
          <w:color w:val="000000"/>
          <w:sz w:val="44"/>
        </w:rPr>
      </w:pPr>
    </w:p>
    <w:p>
      <w:pPr>
        <w:adjustRightInd/>
        <w:snapToGrid/>
        <w:spacing w:line="360" w:lineRule="auto"/>
        <w:ind w:firstLine="880" w:firstLineChars="200"/>
        <w:rPr>
          <w:rFonts w:ascii="仿宋_GB2312" w:hAnsi="Times New Roman" w:eastAsia="仿宋_GB2312"/>
          <w:color w:val="000000"/>
          <w:sz w:val="44"/>
        </w:rPr>
      </w:pPr>
    </w:p>
    <w:p>
      <w:pPr>
        <w:adjustRightInd/>
        <w:snapToGrid/>
        <w:spacing w:line="360" w:lineRule="auto"/>
        <w:jc w:val="center"/>
        <w:rPr>
          <w:rFonts w:ascii="仿宋_GB2312" w:hAnsi="方正小标宋_GBK" w:eastAsia="仿宋_GB2312" w:cs="方正小标宋_GBK"/>
          <w:b/>
          <w:bCs/>
          <w:color w:val="000000"/>
          <w:sz w:val="52"/>
          <w:szCs w:val="52"/>
        </w:rPr>
      </w:pPr>
      <w:bookmarkStart w:id="10" w:name="_Toc508197144"/>
      <w:bookmarkStart w:id="11" w:name="_Toc468886510"/>
      <w:bookmarkStart w:id="12" w:name="_Toc471324723"/>
      <w:bookmarkStart w:id="13" w:name="_Toc508279013"/>
      <w:bookmarkStart w:id="14" w:name="_Toc381859363"/>
      <w:bookmarkStart w:id="15" w:name="_Toc508277242"/>
      <w:r>
        <w:rPr>
          <w:rFonts w:hint="eastAsia" w:ascii="仿宋_GB2312" w:hAnsi="方正小标宋_GBK" w:eastAsia="仿宋_GB2312" w:cs="方正小标宋_GBK"/>
          <w:b/>
          <w:bCs/>
          <w:color w:val="000000"/>
          <w:sz w:val="52"/>
          <w:szCs w:val="52"/>
        </w:rPr>
        <w:t>桓仁满族自治县“十四五”</w:t>
      </w:r>
    </w:p>
    <w:p>
      <w:pPr>
        <w:adjustRightInd/>
        <w:snapToGrid/>
        <w:spacing w:line="360" w:lineRule="auto"/>
        <w:jc w:val="center"/>
        <w:rPr>
          <w:rFonts w:ascii="仿宋_GB2312" w:hAnsi="方正小标宋_GBK" w:eastAsia="仿宋_GB2312" w:cs="方正小标宋_GBK"/>
          <w:b/>
          <w:bCs/>
          <w:color w:val="000000"/>
          <w:sz w:val="52"/>
          <w:szCs w:val="52"/>
        </w:rPr>
      </w:pPr>
      <w:r>
        <w:rPr>
          <w:rFonts w:hint="eastAsia" w:ascii="仿宋_GB2312" w:hAnsi="方正小标宋_GBK" w:eastAsia="仿宋_GB2312" w:cs="方正小标宋_GBK"/>
          <w:b/>
          <w:bCs/>
          <w:color w:val="000000"/>
          <w:sz w:val="52"/>
          <w:szCs w:val="52"/>
        </w:rPr>
        <w:t>电动汽车充电基础设施规划</w:t>
      </w:r>
    </w:p>
    <w:bookmarkEnd w:id="10"/>
    <w:bookmarkEnd w:id="11"/>
    <w:bookmarkEnd w:id="12"/>
    <w:bookmarkEnd w:id="13"/>
    <w:bookmarkEnd w:id="14"/>
    <w:bookmarkEnd w:id="15"/>
    <w:p>
      <w:pPr>
        <w:adjustRightInd/>
        <w:snapToGrid/>
        <w:spacing w:line="360" w:lineRule="auto"/>
        <w:jc w:val="center"/>
        <w:rPr>
          <w:rFonts w:ascii="仿宋_GB2312" w:hAnsi="方正小标宋_GBK" w:eastAsia="仿宋_GB2312" w:cs="方正小标宋_GBK"/>
          <w:color w:val="000000"/>
          <w:sz w:val="52"/>
          <w:szCs w:val="52"/>
        </w:rPr>
      </w:pPr>
    </w:p>
    <w:p>
      <w:pPr>
        <w:adjustRightInd/>
        <w:snapToGrid/>
        <w:spacing w:line="360" w:lineRule="auto"/>
        <w:jc w:val="center"/>
        <w:rPr>
          <w:rFonts w:ascii="仿宋_GB2312" w:hAnsi="方正小标宋_GBK" w:eastAsia="仿宋_GB2312" w:cs="方正小标宋_GBK"/>
          <w:color w:val="000000"/>
          <w:sz w:val="52"/>
          <w:szCs w:val="52"/>
        </w:rPr>
      </w:pPr>
    </w:p>
    <w:p>
      <w:pPr>
        <w:adjustRightInd/>
        <w:snapToGrid/>
        <w:spacing w:line="360" w:lineRule="auto"/>
        <w:jc w:val="center"/>
        <w:rPr>
          <w:rFonts w:ascii="仿宋_GB2312" w:hAnsi="方正小标宋_GBK" w:eastAsia="仿宋_GB2312" w:cs="方正小标宋_GBK"/>
          <w:color w:val="000000"/>
          <w:sz w:val="52"/>
          <w:szCs w:val="52"/>
        </w:rPr>
      </w:pPr>
    </w:p>
    <w:p>
      <w:pPr>
        <w:adjustRightInd/>
        <w:snapToGrid/>
        <w:spacing w:line="360" w:lineRule="auto"/>
        <w:jc w:val="center"/>
        <w:rPr>
          <w:rFonts w:ascii="仿宋_GB2312" w:hAnsi="Times New Roman" w:eastAsia="仿宋_GB2312"/>
          <w:color w:val="000000"/>
          <w:sz w:val="32"/>
        </w:rPr>
      </w:pPr>
      <w:r>
        <w:rPr>
          <w:rFonts w:hint="eastAsia" w:ascii="仿宋_GB2312" w:hAnsi="Times New Roman" w:eastAsia="仿宋_GB2312"/>
          <w:color w:val="000000"/>
          <w:sz w:val="32"/>
        </w:rPr>
        <w:t>【济南卓尔电力科技有限公司】</w:t>
      </w:r>
    </w:p>
    <w:p>
      <w:pPr>
        <w:adjustRightInd/>
        <w:snapToGrid/>
        <w:spacing w:line="360" w:lineRule="auto"/>
        <w:jc w:val="center"/>
        <w:rPr>
          <w:rFonts w:ascii="仿宋_GB2312" w:hAnsi="Times New Roman" w:eastAsia="仿宋_GB2312"/>
          <w:color w:val="000000"/>
          <w:sz w:val="32"/>
        </w:rPr>
      </w:pPr>
      <w:r>
        <w:rPr>
          <w:rFonts w:hint="eastAsia" w:ascii="仿宋_GB2312" w:hAnsi="Times New Roman" w:eastAsia="仿宋_GB2312"/>
          <w:color w:val="000000"/>
          <w:sz w:val="32"/>
        </w:rPr>
        <w:t>【国网本溪供电公司经济技术研究所</w:t>
      </w:r>
    </w:p>
    <w:p>
      <w:pPr>
        <w:adjustRightInd/>
        <w:snapToGrid/>
        <w:spacing w:line="360" w:lineRule="auto"/>
        <w:jc w:val="center"/>
        <w:rPr>
          <w:rFonts w:ascii="仿宋_GB2312" w:hAnsi="Times New Roman" w:eastAsia="仿宋_GB2312"/>
          <w:color w:val="000000"/>
          <w:sz w:val="25"/>
          <w:szCs w:val="25"/>
        </w:rPr>
      </w:pPr>
      <w:r>
        <w:rPr>
          <w:rFonts w:hint="eastAsia" w:ascii="仿宋_GB2312" w:hAnsi="Times New Roman" w:eastAsia="仿宋_GB2312"/>
          <w:color w:val="000000"/>
          <w:sz w:val="32"/>
        </w:rPr>
        <w:t>（本溪市能源(电力)规划发展中心）】</w:t>
      </w:r>
    </w:p>
    <w:p>
      <w:pPr>
        <w:adjustRightInd/>
        <w:snapToGrid/>
        <w:spacing w:line="360" w:lineRule="auto"/>
        <w:jc w:val="center"/>
        <w:rPr>
          <w:rFonts w:ascii="仿宋_GB2312" w:hAnsi="Times New Roman" w:eastAsia="仿宋_GB2312"/>
          <w:color w:val="000000"/>
          <w:sz w:val="32"/>
        </w:rPr>
      </w:pPr>
      <w:r>
        <w:rPr>
          <w:rFonts w:hint="eastAsia" w:ascii="仿宋_GB2312" w:hAnsi="Times New Roman" w:eastAsia="仿宋_GB2312"/>
          <w:color w:val="000000"/>
          <w:sz w:val="32"/>
        </w:rPr>
        <w:t>二〇二四年三月</w:t>
      </w:r>
      <w:r>
        <w:rPr>
          <w:rFonts w:hint="eastAsia" w:ascii="仿宋_GB2312" w:hAnsi="Times New Roman" w:eastAsia="仿宋_GB2312"/>
          <w:color w:val="000000"/>
          <w:sz w:val="32"/>
        </w:rPr>
        <w:br w:type="page"/>
      </w:r>
    </w:p>
    <w:p>
      <w:pPr>
        <w:adjustRightInd/>
        <w:snapToGrid/>
        <w:spacing w:line="360" w:lineRule="auto"/>
        <w:jc w:val="center"/>
        <w:rPr>
          <w:rFonts w:ascii="仿宋_GB2312" w:hAnsi="Times New Roman" w:eastAsia="仿宋_GB2312"/>
          <w:color w:val="000000"/>
          <w:sz w:val="32"/>
        </w:rPr>
        <w:sectPr>
          <w:footerReference r:id="rId5" w:type="even"/>
          <w:pgSz w:w="11907" w:h="16840"/>
          <w:pgMar w:top="1440" w:right="1701" w:bottom="1440" w:left="1701" w:header="851" w:footer="992" w:gutter="0"/>
          <w:pgNumType w:start="1"/>
          <w:cols w:space="720" w:num="1"/>
          <w:docGrid w:linePitch="312" w:charSpace="0"/>
        </w:sectPr>
      </w:pPr>
    </w:p>
    <w:sdt>
      <w:sdtPr>
        <w:rPr>
          <w:b w:val="0"/>
          <w:bCs w:val="0"/>
          <w:kern w:val="2"/>
          <w:sz w:val="28"/>
          <w:szCs w:val="20"/>
          <w:lang w:val="zh-CN"/>
        </w:rPr>
        <w:id w:val="682086371"/>
        <w:docPartObj>
          <w:docPartGallery w:val="Table of Contents"/>
          <w:docPartUnique/>
        </w:docPartObj>
      </w:sdtPr>
      <w:sdtEndPr>
        <w:rPr>
          <w:b w:val="0"/>
          <w:bCs w:val="0"/>
          <w:kern w:val="2"/>
          <w:sz w:val="28"/>
          <w:szCs w:val="20"/>
          <w:lang w:val="zh-CN"/>
        </w:rPr>
      </w:sdtEndPr>
      <w:sdtContent>
        <w:p>
          <w:pPr>
            <w:pStyle w:val="252"/>
            <w:spacing w:before="120" w:after="120"/>
            <w:jc w:val="center"/>
            <w:rPr>
              <w:rFonts w:hint="eastAsia"/>
            </w:rPr>
          </w:pPr>
          <w:r>
            <w:rPr>
              <w:lang w:val="zh-CN"/>
            </w:rPr>
            <w:t>目录</w:t>
          </w:r>
        </w:p>
        <w:p>
          <w:pPr>
            <w:pStyle w:val="22"/>
            <w:tabs>
              <w:tab w:val="right" w:leader="dot" w:pos="8505"/>
            </w:tabs>
            <w:rPr>
              <w:rFonts w:hint="eastAsia"/>
            </w:rPr>
          </w:pPr>
          <w:r>
            <w:rPr>
              <w:rFonts w:hint="eastAsia"/>
            </w:rPr>
            <w:fldChar w:fldCharType="begin"/>
          </w:r>
          <w:r>
            <w:rPr>
              <w:rFonts w:hint="eastAsia"/>
            </w:rPr>
            <w:instrText xml:space="preserve"> </w:instrText>
          </w:r>
          <w:r>
            <w:instrText xml:space="preserve">TOC \o "1-2" \h \z \u</w:instrText>
          </w:r>
          <w:r>
            <w:rPr>
              <w:rFonts w:hint="eastAsia"/>
            </w:rPr>
            <w:instrText xml:space="preserve"> </w:instrText>
          </w:r>
          <w:r>
            <w:rPr>
              <w:rFonts w:hint="eastAsia"/>
            </w:rPr>
            <w:fldChar w:fldCharType="separate"/>
          </w:r>
          <w:r>
            <w:fldChar w:fldCharType="begin"/>
          </w:r>
          <w:r>
            <w:instrText xml:space="preserve"> HYPERLINK \l "_Toc15394" </w:instrText>
          </w:r>
          <w:r>
            <w:fldChar w:fldCharType="separate"/>
          </w:r>
          <w:r>
            <w:rPr>
              <w:rFonts w:hint="eastAsia"/>
            </w:rPr>
            <w:t>第一章 前言</w:t>
          </w:r>
          <w:r>
            <w:tab/>
          </w:r>
          <w:r>
            <w:fldChar w:fldCharType="begin"/>
          </w:r>
          <w:r>
            <w:instrText xml:space="preserve"> PAGEREF _Toc15394 \h </w:instrText>
          </w:r>
          <w:r>
            <w:fldChar w:fldCharType="separate"/>
          </w:r>
          <w:r>
            <w:t>1</w:t>
          </w:r>
          <w:r>
            <w:fldChar w:fldCharType="end"/>
          </w:r>
          <w:r>
            <w:fldChar w:fldCharType="end"/>
          </w:r>
        </w:p>
        <w:p>
          <w:pPr>
            <w:pStyle w:val="26"/>
            <w:tabs>
              <w:tab w:val="right" w:leader="dot" w:pos="8505"/>
            </w:tabs>
            <w:spacing w:before="120"/>
            <w:rPr>
              <w:rFonts w:hint="eastAsia"/>
            </w:rPr>
          </w:pPr>
          <w:r>
            <w:fldChar w:fldCharType="begin"/>
          </w:r>
          <w:r>
            <w:instrText xml:space="preserve"> HYPERLINK \l "_Toc16983" </w:instrText>
          </w:r>
          <w:r>
            <w:fldChar w:fldCharType="separate"/>
          </w:r>
          <w:r>
            <w:t xml:space="preserve">1.1 </w:t>
          </w:r>
          <w:r>
            <w:rPr>
              <w:rFonts w:hint="eastAsia"/>
            </w:rPr>
            <w:t>目的和意义</w:t>
          </w:r>
          <w:r>
            <w:tab/>
          </w:r>
          <w:r>
            <w:fldChar w:fldCharType="begin"/>
          </w:r>
          <w:r>
            <w:instrText xml:space="preserve"> PAGEREF _Toc16983 \h </w:instrText>
          </w:r>
          <w:r>
            <w:fldChar w:fldCharType="separate"/>
          </w:r>
          <w:r>
            <w:t>1</w:t>
          </w:r>
          <w:r>
            <w:fldChar w:fldCharType="end"/>
          </w:r>
          <w:r>
            <w:fldChar w:fldCharType="end"/>
          </w:r>
        </w:p>
        <w:p>
          <w:pPr>
            <w:pStyle w:val="26"/>
            <w:tabs>
              <w:tab w:val="right" w:leader="dot" w:pos="8505"/>
            </w:tabs>
            <w:spacing w:before="120"/>
            <w:rPr>
              <w:rFonts w:hint="eastAsia"/>
            </w:rPr>
          </w:pPr>
          <w:r>
            <w:fldChar w:fldCharType="begin"/>
          </w:r>
          <w:r>
            <w:instrText xml:space="preserve"> HYPERLINK \l "_Toc17464" </w:instrText>
          </w:r>
          <w:r>
            <w:fldChar w:fldCharType="separate"/>
          </w:r>
          <w:r>
            <w:t xml:space="preserve">1.2 </w:t>
          </w:r>
          <w:r>
            <w:rPr>
              <w:rFonts w:hint="eastAsia"/>
            </w:rPr>
            <w:t>指导思想</w:t>
          </w:r>
          <w:r>
            <w:tab/>
          </w:r>
          <w:r>
            <w:fldChar w:fldCharType="begin"/>
          </w:r>
          <w:r>
            <w:instrText xml:space="preserve"> PAGEREF _Toc17464 \h </w:instrText>
          </w:r>
          <w:r>
            <w:fldChar w:fldCharType="separate"/>
          </w:r>
          <w:r>
            <w:t>2</w:t>
          </w:r>
          <w:r>
            <w:fldChar w:fldCharType="end"/>
          </w:r>
          <w:r>
            <w:fldChar w:fldCharType="end"/>
          </w:r>
        </w:p>
        <w:p>
          <w:pPr>
            <w:pStyle w:val="26"/>
            <w:tabs>
              <w:tab w:val="right" w:leader="dot" w:pos="8505"/>
            </w:tabs>
            <w:spacing w:before="120"/>
            <w:rPr>
              <w:rFonts w:hint="eastAsia"/>
            </w:rPr>
          </w:pPr>
          <w:r>
            <w:fldChar w:fldCharType="begin"/>
          </w:r>
          <w:r>
            <w:instrText xml:space="preserve"> HYPERLINK \l "_Toc27016" </w:instrText>
          </w:r>
          <w:r>
            <w:fldChar w:fldCharType="separate"/>
          </w:r>
          <w:r>
            <w:t xml:space="preserve">1.3 </w:t>
          </w:r>
          <w:r>
            <w:rPr>
              <w:rFonts w:hint="eastAsia"/>
            </w:rPr>
            <w:t>规划范围及年限</w:t>
          </w:r>
          <w:r>
            <w:tab/>
          </w:r>
          <w:r>
            <w:fldChar w:fldCharType="begin"/>
          </w:r>
          <w:r>
            <w:instrText xml:space="preserve"> PAGEREF _Toc27016 \h </w:instrText>
          </w:r>
          <w:r>
            <w:fldChar w:fldCharType="separate"/>
          </w:r>
          <w:r>
            <w:t>3</w:t>
          </w:r>
          <w:r>
            <w:fldChar w:fldCharType="end"/>
          </w:r>
          <w:r>
            <w:fldChar w:fldCharType="end"/>
          </w:r>
        </w:p>
        <w:p>
          <w:pPr>
            <w:pStyle w:val="26"/>
            <w:tabs>
              <w:tab w:val="right" w:leader="dot" w:pos="8505"/>
            </w:tabs>
            <w:spacing w:before="120"/>
            <w:rPr>
              <w:rFonts w:hint="eastAsia"/>
            </w:rPr>
          </w:pPr>
          <w:r>
            <w:fldChar w:fldCharType="begin"/>
          </w:r>
          <w:r>
            <w:instrText xml:space="preserve"> HYPERLINK \l "_Toc32624" </w:instrText>
          </w:r>
          <w:r>
            <w:fldChar w:fldCharType="separate"/>
          </w:r>
          <w:r>
            <w:t xml:space="preserve">1.4 </w:t>
          </w:r>
          <w:r>
            <w:rPr>
              <w:rFonts w:hint="eastAsia"/>
            </w:rPr>
            <w:t>编制依据</w:t>
          </w:r>
          <w:r>
            <w:tab/>
          </w:r>
          <w:r>
            <w:fldChar w:fldCharType="begin"/>
          </w:r>
          <w:r>
            <w:instrText xml:space="preserve"> PAGEREF _Toc32624 \h </w:instrText>
          </w:r>
          <w:r>
            <w:fldChar w:fldCharType="separate"/>
          </w:r>
          <w:r>
            <w:t>4</w:t>
          </w:r>
          <w:r>
            <w:fldChar w:fldCharType="end"/>
          </w:r>
          <w:r>
            <w:fldChar w:fldCharType="end"/>
          </w:r>
        </w:p>
        <w:p>
          <w:pPr>
            <w:pStyle w:val="22"/>
            <w:tabs>
              <w:tab w:val="right" w:leader="dot" w:pos="8505"/>
            </w:tabs>
            <w:rPr>
              <w:rFonts w:hint="eastAsia"/>
            </w:rPr>
          </w:pPr>
          <w:r>
            <w:fldChar w:fldCharType="begin"/>
          </w:r>
          <w:r>
            <w:instrText xml:space="preserve"> HYPERLINK \l "_Toc22554" </w:instrText>
          </w:r>
          <w:r>
            <w:fldChar w:fldCharType="separate"/>
          </w:r>
          <w:r>
            <w:rPr>
              <w:rFonts w:hint="eastAsia"/>
            </w:rPr>
            <w:t xml:space="preserve">第二章 </w:t>
          </w:r>
          <w:r>
            <w:t>社会经济发展</w:t>
          </w:r>
          <w:r>
            <w:rPr>
              <w:rFonts w:hint="eastAsia"/>
            </w:rPr>
            <w:t>及规划</w:t>
          </w:r>
          <w:r>
            <w:t>概况</w:t>
          </w:r>
          <w:r>
            <w:tab/>
          </w:r>
          <w:r>
            <w:fldChar w:fldCharType="begin"/>
          </w:r>
          <w:r>
            <w:instrText xml:space="preserve"> PAGEREF _Toc22554 \h </w:instrText>
          </w:r>
          <w:r>
            <w:fldChar w:fldCharType="separate"/>
          </w:r>
          <w:r>
            <w:t>6</w:t>
          </w:r>
          <w:r>
            <w:fldChar w:fldCharType="end"/>
          </w:r>
          <w:r>
            <w:fldChar w:fldCharType="end"/>
          </w:r>
        </w:p>
        <w:p>
          <w:pPr>
            <w:pStyle w:val="26"/>
            <w:tabs>
              <w:tab w:val="right" w:leader="dot" w:pos="8505"/>
            </w:tabs>
            <w:spacing w:before="120"/>
            <w:rPr>
              <w:rFonts w:hint="eastAsia"/>
            </w:rPr>
          </w:pPr>
          <w:r>
            <w:fldChar w:fldCharType="begin"/>
          </w:r>
          <w:r>
            <w:instrText xml:space="preserve"> HYPERLINK \l "_Toc15144" </w:instrText>
          </w:r>
          <w:r>
            <w:fldChar w:fldCharType="separate"/>
          </w:r>
          <w:r>
            <w:t xml:space="preserve">2.1 </w:t>
          </w:r>
          <w:r>
            <w:rPr>
              <w:rFonts w:hint="eastAsia"/>
            </w:rPr>
            <w:t>社会</w:t>
          </w:r>
          <w:r>
            <w:t>经济发展概况</w:t>
          </w:r>
          <w:r>
            <w:tab/>
          </w:r>
          <w:r>
            <w:fldChar w:fldCharType="begin"/>
          </w:r>
          <w:r>
            <w:instrText xml:space="preserve"> PAGEREF _Toc15144 \h </w:instrText>
          </w:r>
          <w:r>
            <w:fldChar w:fldCharType="separate"/>
          </w:r>
          <w:r>
            <w:t>6</w:t>
          </w:r>
          <w:r>
            <w:fldChar w:fldCharType="end"/>
          </w:r>
          <w:r>
            <w:fldChar w:fldCharType="end"/>
          </w:r>
        </w:p>
        <w:p>
          <w:pPr>
            <w:pStyle w:val="26"/>
            <w:tabs>
              <w:tab w:val="right" w:leader="dot" w:pos="8505"/>
            </w:tabs>
            <w:spacing w:before="120"/>
            <w:rPr>
              <w:rFonts w:hint="eastAsia"/>
            </w:rPr>
          </w:pPr>
          <w:r>
            <w:fldChar w:fldCharType="begin"/>
          </w:r>
          <w:r>
            <w:instrText xml:space="preserve"> HYPERLINK \l "_Toc22091" </w:instrText>
          </w:r>
          <w:r>
            <w:fldChar w:fldCharType="separate"/>
          </w:r>
          <w:r>
            <w:t xml:space="preserve">2.2 </w:t>
          </w:r>
          <w:r>
            <w:rPr>
              <w:rFonts w:hint="eastAsia"/>
            </w:rPr>
            <w:t>城市发展</w:t>
          </w:r>
          <w:r>
            <w:t>规划情况</w:t>
          </w:r>
          <w:r>
            <w:tab/>
          </w:r>
          <w:r>
            <w:fldChar w:fldCharType="begin"/>
          </w:r>
          <w:r>
            <w:instrText xml:space="preserve"> PAGEREF _Toc22091 \h </w:instrText>
          </w:r>
          <w:r>
            <w:fldChar w:fldCharType="separate"/>
          </w:r>
          <w:r>
            <w:t>8</w:t>
          </w:r>
          <w:r>
            <w:fldChar w:fldCharType="end"/>
          </w:r>
          <w:r>
            <w:fldChar w:fldCharType="end"/>
          </w:r>
        </w:p>
        <w:p>
          <w:pPr>
            <w:pStyle w:val="22"/>
            <w:tabs>
              <w:tab w:val="right" w:leader="dot" w:pos="8505"/>
            </w:tabs>
            <w:rPr>
              <w:rFonts w:hint="eastAsia"/>
            </w:rPr>
          </w:pPr>
          <w:r>
            <w:fldChar w:fldCharType="begin"/>
          </w:r>
          <w:r>
            <w:instrText xml:space="preserve"> HYPERLINK \l "_Toc21934" </w:instrText>
          </w:r>
          <w:r>
            <w:fldChar w:fldCharType="separate"/>
          </w:r>
          <w:r>
            <w:rPr>
              <w:rFonts w:hint="eastAsia"/>
            </w:rPr>
            <w:t xml:space="preserve">第三章 </w:t>
          </w:r>
          <w:r>
            <w:t>电动汽车及充电设施</w:t>
          </w:r>
          <w:r>
            <w:rPr>
              <w:rFonts w:hint="eastAsia"/>
            </w:rPr>
            <w:t>现状</w:t>
          </w:r>
          <w:r>
            <w:t>分析</w:t>
          </w:r>
          <w:r>
            <w:tab/>
          </w:r>
          <w:r>
            <w:fldChar w:fldCharType="begin"/>
          </w:r>
          <w:r>
            <w:instrText xml:space="preserve"> PAGEREF _Toc21934 \h </w:instrText>
          </w:r>
          <w:r>
            <w:fldChar w:fldCharType="separate"/>
          </w:r>
          <w:r>
            <w:t>11</w:t>
          </w:r>
          <w:r>
            <w:fldChar w:fldCharType="end"/>
          </w:r>
          <w:r>
            <w:fldChar w:fldCharType="end"/>
          </w:r>
        </w:p>
        <w:p>
          <w:pPr>
            <w:pStyle w:val="26"/>
            <w:tabs>
              <w:tab w:val="right" w:leader="dot" w:pos="8505"/>
            </w:tabs>
            <w:spacing w:before="120"/>
            <w:rPr>
              <w:rFonts w:hint="eastAsia"/>
            </w:rPr>
          </w:pPr>
          <w:r>
            <w:fldChar w:fldCharType="begin"/>
          </w:r>
          <w:r>
            <w:instrText xml:space="preserve"> HYPERLINK \l "_Toc19471" </w:instrText>
          </w:r>
          <w:r>
            <w:fldChar w:fldCharType="separate"/>
          </w:r>
          <w:r>
            <w:t>3.1 政策环境</w:t>
          </w:r>
          <w:r>
            <w:tab/>
          </w:r>
          <w:r>
            <w:fldChar w:fldCharType="begin"/>
          </w:r>
          <w:r>
            <w:instrText xml:space="preserve"> PAGEREF _Toc19471 \h </w:instrText>
          </w:r>
          <w:r>
            <w:fldChar w:fldCharType="separate"/>
          </w:r>
          <w:r>
            <w:t>11</w:t>
          </w:r>
          <w:r>
            <w:fldChar w:fldCharType="end"/>
          </w:r>
          <w:r>
            <w:fldChar w:fldCharType="end"/>
          </w:r>
        </w:p>
        <w:p>
          <w:pPr>
            <w:pStyle w:val="26"/>
            <w:tabs>
              <w:tab w:val="right" w:leader="dot" w:pos="8505"/>
            </w:tabs>
            <w:spacing w:before="120"/>
            <w:rPr>
              <w:rFonts w:hint="eastAsia"/>
            </w:rPr>
          </w:pPr>
          <w:r>
            <w:fldChar w:fldCharType="begin"/>
          </w:r>
          <w:r>
            <w:instrText xml:space="preserve"> HYPERLINK \l "_Toc5760" </w:instrText>
          </w:r>
          <w:r>
            <w:fldChar w:fldCharType="separate"/>
          </w:r>
          <w:r>
            <w:t>3.2 汽车与电动汽车</w:t>
          </w:r>
          <w:r>
            <w:rPr>
              <w:rFonts w:hint="eastAsia"/>
            </w:rPr>
            <w:t>现状</w:t>
          </w:r>
          <w:r>
            <w:tab/>
          </w:r>
          <w:r>
            <w:fldChar w:fldCharType="begin"/>
          </w:r>
          <w:r>
            <w:instrText xml:space="preserve"> PAGEREF _Toc5760 \h </w:instrText>
          </w:r>
          <w:r>
            <w:fldChar w:fldCharType="separate"/>
          </w:r>
          <w:r>
            <w:t>14</w:t>
          </w:r>
          <w:r>
            <w:fldChar w:fldCharType="end"/>
          </w:r>
          <w:r>
            <w:fldChar w:fldCharType="end"/>
          </w:r>
        </w:p>
        <w:p>
          <w:pPr>
            <w:pStyle w:val="26"/>
            <w:tabs>
              <w:tab w:val="right" w:leader="dot" w:pos="8505"/>
            </w:tabs>
            <w:spacing w:before="120"/>
            <w:rPr>
              <w:rFonts w:hint="eastAsia"/>
            </w:rPr>
          </w:pPr>
          <w:r>
            <w:fldChar w:fldCharType="begin"/>
          </w:r>
          <w:r>
            <w:instrText xml:space="preserve"> HYPERLINK \l "_Toc19678" </w:instrText>
          </w:r>
          <w:r>
            <w:fldChar w:fldCharType="separate"/>
          </w:r>
          <w:r>
            <w:t xml:space="preserve">3.3 </w:t>
          </w:r>
          <w:r>
            <w:rPr>
              <w:szCs w:val="22"/>
            </w:rPr>
            <w:t>公共充电设施</w:t>
          </w:r>
          <w:r>
            <w:rPr>
              <w:rFonts w:hint="eastAsia"/>
              <w:szCs w:val="22"/>
            </w:rPr>
            <w:t>现状</w:t>
          </w:r>
          <w:r>
            <w:tab/>
          </w:r>
          <w:r>
            <w:fldChar w:fldCharType="begin"/>
          </w:r>
          <w:r>
            <w:instrText xml:space="preserve"> PAGEREF _Toc19678 \h </w:instrText>
          </w:r>
          <w:r>
            <w:fldChar w:fldCharType="separate"/>
          </w:r>
          <w:r>
            <w:t>16</w:t>
          </w:r>
          <w:r>
            <w:fldChar w:fldCharType="end"/>
          </w:r>
          <w:r>
            <w:fldChar w:fldCharType="end"/>
          </w:r>
        </w:p>
        <w:p>
          <w:pPr>
            <w:pStyle w:val="22"/>
            <w:tabs>
              <w:tab w:val="right" w:leader="dot" w:pos="8505"/>
            </w:tabs>
            <w:rPr>
              <w:rFonts w:hint="eastAsia"/>
            </w:rPr>
          </w:pPr>
          <w:r>
            <w:fldChar w:fldCharType="begin"/>
          </w:r>
          <w:r>
            <w:instrText xml:space="preserve"> HYPERLINK \l "_Toc19807" </w:instrText>
          </w:r>
          <w:r>
            <w:fldChar w:fldCharType="separate"/>
          </w:r>
          <w:r>
            <w:rPr>
              <w:rFonts w:hint="eastAsia"/>
            </w:rPr>
            <w:t xml:space="preserve">第四章 </w:t>
          </w:r>
          <w:r>
            <w:t>规划分区</w:t>
          </w:r>
          <w:r>
            <w:tab/>
          </w:r>
          <w:r>
            <w:fldChar w:fldCharType="begin"/>
          </w:r>
          <w:r>
            <w:instrText xml:space="preserve"> PAGEREF _Toc19807 \h </w:instrText>
          </w:r>
          <w:r>
            <w:fldChar w:fldCharType="separate"/>
          </w:r>
          <w:r>
            <w:t>19</w:t>
          </w:r>
          <w:r>
            <w:fldChar w:fldCharType="end"/>
          </w:r>
          <w:r>
            <w:fldChar w:fldCharType="end"/>
          </w:r>
        </w:p>
        <w:p>
          <w:pPr>
            <w:pStyle w:val="26"/>
            <w:tabs>
              <w:tab w:val="right" w:leader="dot" w:pos="8505"/>
            </w:tabs>
            <w:spacing w:before="120"/>
            <w:rPr>
              <w:rFonts w:hint="eastAsia"/>
            </w:rPr>
          </w:pPr>
          <w:r>
            <w:fldChar w:fldCharType="begin"/>
          </w:r>
          <w:r>
            <w:instrText xml:space="preserve"> HYPERLINK \l "_Toc29434" </w:instrText>
          </w:r>
          <w:r>
            <w:fldChar w:fldCharType="separate"/>
          </w:r>
          <w:r>
            <w:t>4.1 分区原则</w:t>
          </w:r>
          <w:r>
            <w:tab/>
          </w:r>
          <w:r>
            <w:fldChar w:fldCharType="begin"/>
          </w:r>
          <w:r>
            <w:instrText xml:space="preserve"> PAGEREF _Toc29434 \h </w:instrText>
          </w:r>
          <w:r>
            <w:fldChar w:fldCharType="separate"/>
          </w:r>
          <w:r>
            <w:t>19</w:t>
          </w:r>
          <w:r>
            <w:fldChar w:fldCharType="end"/>
          </w:r>
          <w:r>
            <w:fldChar w:fldCharType="end"/>
          </w:r>
        </w:p>
        <w:p>
          <w:pPr>
            <w:pStyle w:val="26"/>
            <w:tabs>
              <w:tab w:val="right" w:leader="dot" w:pos="8505"/>
            </w:tabs>
            <w:spacing w:before="120"/>
            <w:rPr>
              <w:rFonts w:hint="eastAsia"/>
            </w:rPr>
          </w:pPr>
          <w:r>
            <w:fldChar w:fldCharType="begin"/>
          </w:r>
          <w:r>
            <w:instrText xml:space="preserve"> HYPERLINK \l "_Toc5891" </w:instrText>
          </w:r>
          <w:r>
            <w:fldChar w:fldCharType="separate"/>
          </w:r>
          <w:r>
            <w:t xml:space="preserve">4.2 </w:t>
          </w:r>
          <w:r>
            <w:rPr>
              <w:rFonts w:hint="eastAsia"/>
            </w:rPr>
            <w:t>块区划分</w:t>
          </w:r>
          <w:r>
            <w:t>结果</w:t>
          </w:r>
          <w:r>
            <w:tab/>
          </w:r>
          <w:r>
            <w:fldChar w:fldCharType="begin"/>
          </w:r>
          <w:r>
            <w:instrText xml:space="preserve"> PAGEREF _Toc5891 \h </w:instrText>
          </w:r>
          <w:r>
            <w:fldChar w:fldCharType="separate"/>
          </w:r>
          <w:r>
            <w:t>19</w:t>
          </w:r>
          <w:r>
            <w:fldChar w:fldCharType="end"/>
          </w:r>
          <w:r>
            <w:fldChar w:fldCharType="end"/>
          </w:r>
        </w:p>
        <w:p>
          <w:pPr>
            <w:pStyle w:val="22"/>
            <w:tabs>
              <w:tab w:val="right" w:leader="dot" w:pos="8505"/>
            </w:tabs>
            <w:rPr>
              <w:rFonts w:hint="eastAsia"/>
            </w:rPr>
          </w:pPr>
          <w:r>
            <w:fldChar w:fldCharType="begin"/>
          </w:r>
          <w:r>
            <w:instrText xml:space="preserve"> HYPERLINK \l "_Toc3531" </w:instrText>
          </w:r>
          <w:r>
            <w:fldChar w:fldCharType="separate"/>
          </w:r>
          <w:r>
            <w:rPr>
              <w:rFonts w:hint="eastAsia"/>
            </w:rPr>
            <w:t xml:space="preserve">第五章 </w:t>
          </w:r>
          <w:r>
            <w:t>需求预测</w:t>
          </w:r>
          <w:r>
            <w:tab/>
          </w:r>
          <w:r>
            <w:fldChar w:fldCharType="begin"/>
          </w:r>
          <w:r>
            <w:instrText xml:space="preserve"> PAGEREF _Toc3531 \h </w:instrText>
          </w:r>
          <w:r>
            <w:fldChar w:fldCharType="separate"/>
          </w:r>
          <w:r>
            <w:t>21</w:t>
          </w:r>
          <w:r>
            <w:fldChar w:fldCharType="end"/>
          </w:r>
          <w:r>
            <w:fldChar w:fldCharType="end"/>
          </w:r>
        </w:p>
        <w:p>
          <w:pPr>
            <w:pStyle w:val="26"/>
            <w:tabs>
              <w:tab w:val="right" w:leader="dot" w:pos="8505"/>
            </w:tabs>
            <w:spacing w:before="120"/>
            <w:rPr>
              <w:rFonts w:hint="eastAsia"/>
            </w:rPr>
          </w:pPr>
          <w:r>
            <w:fldChar w:fldCharType="begin"/>
          </w:r>
          <w:r>
            <w:instrText xml:space="preserve"> HYPERLINK \l "_Toc23674" </w:instrText>
          </w:r>
          <w:r>
            <w:fldChar w:fldCharType="separate"/>
          </w:r>
          <w:r>
            <w:t>5.1 预测思路</w:t>
          </w:r>
          <w:r>
            <w:tab/>
          </w:r>
          <w:r>
            <w:fldChar w:fldCharType="begin"/>
          </w:r>
          <w:r>
            <w:instrText xml:space="preserve"> PAGEREF _Toc23674 \h </w:instrText>
          </w:r>
          <w:r>
            <w:fldChar w:fldCharType="separate"/>
          </w:r>
          <w:r>
            <w:t>21</w:t>
          </w:r>
          <w:r>
            <w:fldChar w:fldCharType="end"/>
          </w:r>
          <w:r>
            <w:fldChar w:fldCharType="end"/>
          </w:r>
        </w:p>
        <w:p>
          <w:pPr>
            <w:pStyle w:val="26"/>
            <w:tabs>
              <w:tab w:val="right" w:leader="dot" w:pos="8505"/>
            </w:tabs>
            <w:spacing w:before="120"/>
            <w:rPr>
              <w:rFonts w:hint="eastAsia"/>
            </w:rPr>
          </w:pPr>
          <w:r>
            <w:fldChar w:fldCharType="begin"/>
          </w:r>
          <w:r>
            <w:instrText xml:space="preserve"> HYPERLINK \l "_Toc1097" </w:instrText>
          </w:r>
          <w:r>
            <w:fldChar w:fldCharType="separate"/>
          </w:r>
          <w:r>
            <w:t xml:space="preserve">5.2 </w:t>
          </w:r>
          <w:r>
            <w:rPr>
              <w:rFonts w:hint="eastAsia"/>
            </w:rPr>
            <w:t>保有量预测</w:t>
          </w:r>
          <w:r>
            <w:tab/>
          </w:r>
          <w:r>
            <w:fldChar w:fldCharType="begin"/>
          </w:r>
          <w:r>
            <w:instrText xml:space="preserve"> PAGEREF _Toc1097 \h </w:instrText>
          </w:r>
          <w:r>
            <w:fldChar w:fldCharType="separate"/>
          </w:r>
          <w:r>
            <w:t>22</w:t>
          </w:r>
          <w:r>
            <w:fldChar w:fldCharType="end"/>
          </w:r>
          <w:r>
            <w:fldChar w:fldCharType="end"/>
          </w:r>
        </w:p>
        <w:p>
          <w:pPr>
            <w:pStyle w:val="26"/>
            <w:tabs>
              <w:tab w:val="right" w:leader="dot" w:pos="8505"/>
            </w:tabs>
            <w:spacing w:before="120"/>
            <w:rPr>
              <w:rFonts w:hint="eastAsia"/>
            </w:rPr>
          </w:pPr>
          <w:r>
            <w:fldChar w:fldCharType="begin"/>
          </w:r>
          <w:r>
            <w:instrText xml:space="preserve"> HYPERLINK \l "_Toc2679" </w:instrText>
          </w:r>
          <w:r>
            <w:fldChar w:fldCharType="separate"/>
          </w:r>
          <w:r>
            <w:t xml:space="preserve">5.3 </w:t>
          </w:r>
          <w:r>
            <w:rPr>
              <w:rFonts w:hint="eastAsia"/>
              <w:szCs w:val="22"/>
            </w:rPr>
            <w:t>公共</w:t>
          </w:r>
          <w:r>
            <w:rPr>
              <w:szCs w:val="22"/>
            </w:rPr>
            <w:t>充电设施</w:t>
          </w:r>
          <w:r>
            <w:rPr>
              <w:rFonts w:hint="eastAsia"/>
              <w:szCs w:val="22"/>
            </w:rPr>
            <w:t>需求预测</w:t>
          </w:r>
          <w:r>
            <w:tab/>
          </w:r>
          <w:r>
            <w:fldChar w:fldCharType="begin"/>
          </w:r>
          <w:r>
            <w:instrText xml:space="preserve"> PAGEREF _Toc2679 \h </w:instrText>
          </w:r>
          <w:r>
            <w:fldChar w:fldCharType="separate"/>
          </w:r>
          <w:r>
            <w:t>27</w:t>
          </w:r>
          <w:r>
            <w:fldChar w:fldCharType="end"/>
          </w:r>
          <w:r>
            <w:fldChar w:fldCharType="end"/>
          </w:r>
        </w:p>
        <w:p>
          <w:pPr>
            <w:pStyle w:val="22"/>
            <w:tabs>
              <w:tab w:val="right" w:leader="dot" w:pos="8505"/>
            </w:tabs>
            <w:rPr>
              <w:rFonts w:hint="eastAsia"/>
            </w:rPr>
          </w:pPr>
          <w:r>
            <w:fldChar w:fldCharType="begin"/>
          </w:r>
          <w:r>
            <w:instrText xml:space="preserve"> HYPERLINK \l "_Toc5004" </w:instrText>
          </w:r>
          <w:r>
            <w:fldChar w:fldCharType="separate"/>
          </w:r>
          <w:r>
            <w:rPr>
              <w:rFonts w:hint="eastAsia"/>
            </w:rPr>
            <w:t xml:space="preserve">第六章 </w:t>
          </w:r>
          <w:r>
            <w:t>发展策略</w:t>
          </w:r>
          <w:r>
            <w:tab/>
          </w:r>
          <w:r>
            <w:fldChar w:fldCharType="begin"/>
          </w:r>
          <w:r>
            <w:instrText xml:space="preserve"> PAGEREF _Toc5004 \h </w:instrText>
          </w:r>
          <w:r>
            <w:fldChar w:fldCharType="separate"/>
          </w:r>
          <w:r>
            <w:t>32</w:t>
          </w:r>
          <w:r>
            <w:fldChar w:fldCharType="end"/>
          </w:r>
          <w:r>
            <w:fldChar w:fldCharType="end"/>
          </w:r>
        </w:p>
        <w:p>
          <w:pPr>
            <w:pStyle w:val="26"/>
            <w:tabs>
              <w:tab w:val="right" w:leader="dot" w:pos="8505"/>
            </w:tabs>
            <w:spacing w:before="120"/>
            <w:rPr>
              <w:rFonts w:hint="eastAsia"/>
            </w:rPr>
          </w:pPr>
          <w:r>
            <w:fldChar w:fldCharType="begin"/>
          </w:r>
          <w:r>
            <w:instrText xml:space="preserve"> HYPERLINK \l "_Toc10267" </w:instrText>
          </w:r>
          <w:r>
            <w:fldChar w:fldCharType="separate"/>
          </w:r>
          <w:r>
            <w:t xml:space="preserve">6.1 </w:t>
          </w:r>
          <w:r>
            <w:rPr>
              <w:rFonts w:hint="eastAsia"/>
            </w:rPr>
            <w:t>公共充电设施选址原则及布局思路</w:t>
          </w:r>
          <w:r>
            <w:tab/>
          </w:r>
          <w:r>
            <w:fldChar w:fldCharType="begin"/>
          </w:r>
          <w:r>
            <w:instrText xml:space="preserve"> PAGEREF _Toc10267 \h </w:instrText>
          </w:r>
          <w:r>
            <w:fldChar w:fldCharType="separate"/>
          </w:r>
          <w:r>
            <w:t>32</w:t>
          </w:r>
          <w:r>
            <w:fldChar w:fldCharType="end"/>
          </w:r>
          <w:r>
            <w:fldChar w:fldCharType="end"/>
          </w:r>
        </w:p>
        <w:p>
          <w:pPr>
            <w:pStyle w:val="26"/>
            <w:tabs>
              <w:tab w:val="right" w:leader="dot" w:pos="8505"/>
            </w:tabs>
            <w:spacing w:before="120"/>
            <w:rPr>
              <w:rFonts w:hint="eastAsia"/>
            </w:rPr>
          </w:pPr>
          <w:r>
            <w:fldChar w:fldCharType="begin"/>
          </w:r>
          <w:r>
            <w:instrText xml:space="preserve"> HYPERLINK \l "_Toc4854" </w:instrText>
          </w:r>
          <w:r>
            <w:fldChar w:fldCharType="separate"/>
          </w:r>
          <w:r>
            <w:t xml:space="preserve">6.2 </w:t>
          </w:r>
          <w:r>
            <w:rPr>
              <w:rFonts w:hint="eastAsia"/>
            </w:rPr>
            <w:t>专用充电设施选址原则及布局思路</w:t>
          </w:r>
          <w:r>
            <w:tab/>
          </w:r>
          <w:r>
            <w:fldChar w:fldCharType="begin"/>
          </w:r>
          <w:r>
            <w:instrText xml:space="preserve"> PAGEREF _Toc4854 \h </w:instrText>
          </w:r>
          <w:r>
            <w:fldChar w:fldCharType="separate"/>
          </w:r>
          <w:r>
            <w:t>33</w:t>
          </w:r>
          <w:r>
            <w:fldChar w:fldCharType="end"/>
          </w:r>
          <w:r>
            <w:fldChar w:fldCharType="end"/>
          </w:r>
        </w:p>
        <w:p>
          <w:pPr>
            <w:pStyle w:val="26"/>
            <w:tabs>
              <w:tab w:val="right" w:leader="dot" w:pos="8505"/>
            </w:tabs>
            <w:spacing w:before="120"/>
            <w:rPr>
              <w:rFonts w:hint="eastAsia"/>
            </w:rPr>
          </w:pPr>
          <w:r>
            <w:fldChar w:fldCharType="begin"/>
          </w:r>
          <w:r>
            <w:instrText xml:space="preserve"> HYPERLINK \l "_Toc28924" </w:instrText>
          </w:r>
          <w:r>
            <w:fldChar w:fldCharType="separate"/>
          </w:r>
          <w:r>
            <w:t>6.3 规划目标</w:t>
          </w:r>
          <w:r>
            <w:tab/>
          </w:r>
          <w:r>
            <w:fldChar w:fldCharType="begin"/>
          </w:r>
          <w:r>
            <w:instrText xml:space="preserve"> PAGEREF _Toc28924 \h </w:instrText>
          </w:r>
          <w:r>
            <w:fldChar w:fldCharType="separate"/>
          </w:r>
          <w:r>
            <w:t>35</w:t>
          </w:r>
          <w:r>
            <w:fldChar w:fldCharType="end"/>
          </w:r>
          <w:r>
            <w:fldChar w:fldCharType="end"/>
          </w:r>
        </w:p>
        <w:p>
          <w:pPr>
            <w:pStyle w:val="22"/>
            <w:tabs>
              <w:tab w:val="right" w:leader="dot" w:pos="8505"/>
            </w:tabs>
            <w:rPr>
              <w:rFonts w:hint="eastAsia"/>
            </w:rPr>
          </w:pPr>
          <w:r>
            <w:fldChar w:fldCharType="begin"/>
          </w:r>
          <w:r>
            <w:instrText xml:space="preserve"> HYPERLINK \l "_Toc29334" </w:instrText>
          </w:r>
          <w:r>
            <w:fldChar w:fldCharType="separate"/>
          </w:r>
          <w:r>
            <w:rPr>
              <w:rFonts w:hint="eastAsia"/>
            </w:rPr>
            <w:t xml:space="preserve">第七章 </w:t>
          </w:r>
          <w:r>
            <w:t>选址布局</w:t>
          </w:r>
          <w:r>
            <w:tab/>
          </w:r>
          <w:r>
            <w:fldChar w:fldCharType="begin"/>
          </w:r>
          <w:r>
            <w:instrText xml:space="preserve"> PAGEREF _Toc29334 \h </w:instrText>
          </w:r>
          <w:r>
            <w:fldChar w:fldCharType="separate"/>
          </w:r>
          <w:r>
            <w:t>36</w:t>
          </w:r>
          <w:r>
            <w:fldChar w:fldCharType="end"/>
          </w:r>
          <w:r>
            <w:fldChar w:fldCharType="end"/>
          </w:r>
        </w:p>
        <w:p>
          <w:pPr>
            <w:pStyle w:val="26"/>
            <w:tabs>
              <w:tab w:val="right" w:leader="dot" w:pos="8505"/>
            </w:tabs>
            <w:spacing w:before="120"/>
            <w:rPr>
              <w:rFonts w:hint="eastAsia"/>
            </w:rPr>
          </w:pPr>
          <w:r>
            <w:fldChar w:fldCharType="begin"/>
          </w:r>
          <w:r>
            <w:instrText xml:space="preserve"> HYPERLINK \l "_Toc29817" </w:instrText>
          </w:r>
          <w:r>
            <w:fldChar w:fldCharType="separate"/>
          </w:r>
          <w:r>
            <w:t>7.1 选址布局原则</w:t>
          </w:r>
          <w:r>
            <w:tab/>
          </w:r>
          <w:r>
            <w:fldChar w:fldCharType="begin"/>
          </w:r>
          <w:r>
            <w:instrText xml:space="preserve"> PAGEREF _Toc29817 \h </w:instrText>
          </w:r>
          <w:r>
            <w:fldChar w:fldCharType="separate"/>
          </w:r>
          <w:r>
            <w:t>36</w:t>
          </w:r>
          <w:r>
            <w:fldChar w:fldCharType="end"/>
          </w:r>
          <w:r>
            <w:fldChar w:fldCharType="end"/>
          </w:r>
        </w:p>
        <w:p>
          <w:pPr>
            <w:pStyle w:val="26"/>
            <w:tabs>
              <w:tab w:val="right" w:leader="dot" w:pos="8505"/>
            </w:tabs>
            <w:spacing w:before="120"/>
            <w:rPr>
              <w:rFonts w:hint="eastAsia"/>
            </w:rPr>
          </w:pPr>
          <w:r>
            <w:fldChar w:fldCharType="begin"/>
          </w:r>
          <w:r>
            <w:instrText xml:space="preserve"> HYPERLINK \l "_Toc3503" </w:instrText>
          </w:r>
          <w:r>
            <w:fldChar w:fldCharType="separate"/>
          </w:r>
          <w:r>
            <w:t>7.2 布局方案</w:t>
          </w:r>
          <w:r>
            <w:tab/>
          </w:r>
          <w:r>
            <w:fldChar w:fldCharType="begin"/>
          </w:r>
          <w:r>
            <w:instrText xml:space="preserve"> PAGEREF _Toc3503 \h </w:instrText>
          </w:r>
          <w:r>
            <w:fldChar w:fldCharType="separate"/>
          </w:r>
          <w:r>
            <w:t>37</w:t>
          </w:r>
          <w:r>
            <w:fldChar w:fldCharType="end"/>
          </w:r>
          <w:r>
            <w:fldChar w:fldCharType="end"/>
          </w:r>
        </w:p>
        <w:p>
          <w:pPr>
            <w:pStyle w:val="26"/>
            <w:tabs>
              <w:tab w:val="right" w:leader="dot" w:pos="8505"/>
            </w:tabs>
            <w:spacing w:before="120"/>
            <w:rPr>
              <w:rFonts w:hint="eastAsia"/>
            </w:rPr>
          </w:pPr>
          <w:r>
            <w:fldChar w:fldCharType="begin"/>
          </w:r>
          <w:r>
            <w:instrText xml:space="preserve"> HYPERLINK \l "_Toc3228" </w:instrText>
          </w:r>
          <w:r>
            <w:fldChar w:fldCharType="separate"/>
          </w:r>
          <w:r>
            <w:t xml:space="preserve">7.3 </w:t>
          </w:r>
          <w:r>
            <w:rPr>
              <w:rFonts w:hint="eastAsia"/>
            </w:rPr>
            <w:t>新技术展望</w:t>
          </w:r>
          <w:r>
            <w:tab/>
          </w:r>
          <w:r>
            <w:fldChar w:fldCharType="begin"/>
          </w:r>
          <w:r>
            <w:instrText xml:space="preserve"> PAGEREF _Toc3228 \h </w:instrText>
          </w:r>
          <w:r>
            <w:fldChar w:fldCharType="separate"/>
          </w:r>
          <w:r>
            <w:t>69</w:t>
          </w:r>
          <w:r>
            <w:fldChar w:fldCharType="end"/>
          </w:r>
          <w:r>
            <w:fldChar w:fldCharType="end"/>
          </w:r>
        </w:p>
        <w:p>
          <w:pPr>
            <w:pStyle w:val="22"/>
            <w:tabs>
              <w:tab w:val="right" w:leader="dot" w:pos="8505"/>
            </w:tabs>
            <w:rPr>
              <w:rFonts w:hint="eastAsia"/>
            </w:rPr>
          </w:pPr>
          <w:r>
            <w:fldChar w:fldCharType="begin"/>
          </w:r>
          <w:r>
            <w:instrText xml:space="preserve"> HYPERLINK \l "_Toc31382" </w:instrText>
          </w:r>
          <w:r>
            <w:fldChar w:fldCharType="separate"/>
          </w:r>
          <w:r>
            <w:rPr>
              <w:rFonts w:hint="eastAsia"/>
            </w:rPr>
            <w:t xml:space="preserve">第九章 </w:t>
          </w:r>
          <w:r>
            <w:t>建设投资与成效分析</w:t>
          </w:r>
          <w:r>
            <w:tab/>
          </w:r>
          <w:r>
            <w:fldChar w:fldCharType="begin"/>
          </w:r>
          <w:r>
            <w:instrText xml:space="preserve"> PAGEREF _Toc31382 \h </w:instrText>
          </w:r>
          <w:r>
            <w:fldChar w:fldCharType="separate"/>
          </w:r>
          <w:r>
            <w:t>73</w:t>
          </w:r>
          <w:r>
            <w:fldChar w:fldCharType="end"/>
          </w:r>
          <w:r>
            <w:fldChar w:fldCharType="end"/>
          </w:r>
        </w:p>
        <w:p>
          <w:pPr>
            <w:pStyle w:val="26"/>
            <w:tabs>
              <w:tab w:val="right" w:leader="dot" w:pos="8505"/>
            </w:tabs>
            <w:spacing w:before="120"/>
            <w:rPr>
              <w:rFonts w:hint="eastAsia"/>
            </w:rPr>
          </w:pPr>
          <w:r>
            <w:fldChar w:fldCharType="begin"/>
          </w:r>
          <w:r>
            <w:instrText xml:space="preserve"> HYPERLINK \l "_Toc20760" </w:instrText>
          </w:r>
          <w:r>
            <w:fldChar w:fldCharType="separate"/>
          </w:r>
          <w:r>
            <w:t>9.1 建设规模</w:t>
          </w:r>
          <w:r>
            <w:tab/>
          </w:r>
          <w:r>
            <w:fldChar w:fldCharType="begin"/>
          </w:r>
          <w:r>
            <w:instrText xml:space="preserve"> PAGEREF _Toc20760 \h </w:instrText>
          </w:r>
          <w:r>
            <w:fldChar w:fldCharType="separate"/>
          </w:r>
          <w:r>
            <w:t>73</w:t>
          </w:r>
          <w:r>
            <w:fldChar w:fldCharType="end"/>
          </w:r>
          <w:r>
            <w:fldChar w:fldCharType="end"/>
          </w:r>
        </w:p>
        <w:p>
          <w:pPr>
            <w:pStyle w:val="26"/>
            <w:tabs>
              <w:tab w:val="right" w:leader="dot" w:pos="8505"/>
            </w:tabs>
            <w:spacing w:before="120"/>
            <w:rPr>
              <w:rFonts w:hint="eastAsia"/>
            </w:rPr>
          </w:pPr>
          <w:r>
            <w:fldChar w:fldCharType="begin"/>
          </w:r>
          <w:r>
            <w:instrText xml:space="preserve"> HYPERLINK \l "_Toc2613" </w:instrText>
          </w:r>
          <w:r>
            <w:fldChar w:fldCharType="separate"/>
          </w:r>
          <w:r>
            <w:t>9.2 投资估算</w:t>
          </w:r>
          <w:r>
            <w:tab/>
          </w:r>
          <w:r>
            <w:fldChar w:fldCharType="begin"/>
          </w:r>
          <w:r>
            <w:instrText xml:space="preserve"> PAGEREF _Toc2613 \h </w:instrText>
          </w:r>
          <w:r>
            <w:fldChar w:fldCharType="separate"/>
          </w:r>
          <w:r>
            <w:t>73</w:t>
          </w:r>
          <w:r>
            <w:fldChar w:fldCharType="end"/>
          </w:r>
          <w:r>
            <w:fldChar w:fldCharType="end"/>
          </w:r>
        </w:p>
        <w:p>
          <w:pPr>
            <w:pStyle w:val="26"/>
            <w:tabs>
              <w:tab w:val="right" w:leader="dot" w:pos="8505"/>
            </w:tabs>
            <w:spacing w:before="120"/>
            <w:rPr>
              <w:rFonts w:hint="eastAsia"/>
            </w:rPr>
          </w:pPr>
          <w:r>
            <w:fldChar w:fldCharType="begin"/>
          </w:r>
          <w:r>
            <w:instrText xml:space="preserve"> HYPERLINK \l "_Toc3875" </w:instrText>
          </w:r>
          <w:r>
            <w:fldChar w:fldCharType="separate"/>
          </w:r>
          <w:r>
            <w:t>9.3 成效评估</w:t>
          </w:r>
          <w:r>
            <w:tab/>
          </w:r>
          <w:r>
            <w:fldChar w:fldCharType="begin"/>
          </w:r>
          <w:r>
            <w:instrText xml:space="preserve"> PAGEREF _Toc3875 \h </w:instrText>
          </w:r>
          <w:r>
            <w:fldChar w:fldCharType="separate"/>
          </w:r>
          <w:r>
            <w:t>74</w:t>
          </w:r>
          <w:r>
            <w:fldChar w:fldCharType="end"/>
          </w:r>
          <w:r>
            <w:fldChar w:fldCharType="end"/>
          </w:r>
        </w:p>
        <w:p>
          <w:pPr>
            <w:pStyle w:val="26"/>
            <w:tabs>
              <w:tab w:val="right" w:leader="dot" w:pos="8505"/>
            </w:tabs>
            <w:spacing w:before="120"/>
            <w:rPr>
              <w:rFonts w:hint="eastAsia"/>
            </w:rPr>
          </w:pPr>
          <w:r>
            <w:fldChar w:fldCharType="begin"/>
          </w:r>
          <w:r>
            <w:instrText xml:space="preserve"> HYPERLINK \l "_Toc31994" </w:instrText>
          </w:r>
          <w:r>
            <w:fldChar w:fldCharType="separate"/>
          </w:r>
          <w:r>
            <w:t>9.4 保障措施</w:t>
          </w:r>
          <w:r>
            <w:tab/>
          </w:r>
          <w:r>
            <w:fldChar w:fldCharType="begin"/>
          </w:r>
          <w:r>
            <w:instrText xml:space="preserve"> PAGEREF _Toc31994 \h </w:instrText>
          </w:r>
          <w:r>
            <w:fldChar w:fldCharType="separate"/>
          </w:r>
          <w:r>
            <w:t>77</w:t>
          </w:r>
          <w:r>
            <w:fldChar w:fldCharType="end"/>
          </w:r>
          <w:r>
            <w:fldChar w:fldCharType="end"/>
          </w:r>
        </w:p>
        <w:p>
          <w:pPr>
            <w:pStyle w:val="22"/>
            <w:tabs>
              <w:tab w:val="right" w:leader="dot" w:pos="8505"/>
            </w:tabs>
            <w:rPr>
              <w:rFonts w:hint="eastAsia"/>
            </w:rPr>
          </w:pPr>
          <w:r>
            <w:fldChar w:fldCharType="begin"/>
          </w:r>
          <w:r>
            <w:instrText xml:space="preserve"> HYPERLINK \l "_Toc21824" </w:instrText>
          </w:r>
          <w:r>
            <w:fldChar w:fldCharType="separate"/>
          </w:r>
          <w:r>
            <w:rPr>
              <w:rFonts w:hint="eastAsia"/>
              <w:bCs/>
            </w:rPr>
            <w:t>附表1：项目清册</w:t>
          </w:r>
          <w:r>
            <w:tab/>
          </w:r>
          <w:r>
            <w:fldChar w:fldCharType="begin"/>
          </w:r>
          <w:r>
            <w:instrText xml:space="preserve"> PAGEREF _Toc21824 \h </w:instrText>
          </w:r>
          <w:r>
            <w:fldChar w:fldCharType="separate"/>
          </w:r>
          <w:r>
            <w:t>79</w:t>
          </w:r>
          <w:r>
            <w:fldChar w:fldCharType="end"/>
          </w:r>
          <w:r>
            <w:fldChar w:fldCharType="end"/>
          </w:r>
        </w:p>
        <w:p>
          <w:pPr>
            <w:rPr>
              <w:rFonts w:hint="eastAsia"/>
            </w:rPr>
          </w:pPr>
          <w:r>
            <w:rPr>
              <w:rFonts w:hint="eastAsia"/>
            </w:rPr>
            <w:fldChar w:fldCharType="end"/>
          </w:r>
        </w:p>
      </w:sdtContent>
    </w:sdt>
    <w:p>
      <w:pPr>
        <w:pStyle w:val="144"/>
        <w:rPr>
          <w:rFonts w:hint="eastAsia"/>
        </w:rPr>
        <w:sectPr>
          <w:footerReference r:id="rId6" w:type="default"/>
          <w:pgSz w:w="11907" w:h="16840"/>
          <w:pgMar w:top="1440" w:right="1701" w:bottom="1440" w:left="1701" w:header="851" w:footer="992" w:gutter="0"/>
          <w:pgNumType w:fmt="upperRoman" w:start="1"/>
          <w:cols w:space="720" w:num="1"/>
          <w:docGrid w:linePitch="312" w:charSpace="0"/>
        </w:sectPr>
      </w:pPr>
    </w:p>
    <w:p>
      <w:pPr>
        <w:pStyle w:val="2"/>
      </w:pPr>
      <w:bookmarkStart w:id="16" w:name="_Toc15394"/>
      <w:r>
        <w:rPr>
          <w:rFonts w:hint="eastAsia"/>
        </w:rPr>
        <w:t>前言</w:t>
      </w:r>
      <w:bookmarkEnd w:id="0"/>
      <w:bookmarkEnd w:id="1"/>
      <w:bookmarkEnd w:id="2"/>
      <w:bookmarkEnd w:id="3"/>
      <w:bookmarkEnd w:id="4"/>
      <w:bookmarkEnd w:id="5"/>
      <w:bookmarkEnd w:id="6"/>
      <w:bookmarkEnd w:id="7"/>
      <w:bookmarkEnd w:id="8"/>
      <w:bookmarkEnd w:id="16"/>
    </w:p>
    <w:p>
      <w:pPr>
        <w:pStyle w:val="3"/>
      </w:pPr>
      <w:bookmarkStart w:id="17" w:name="_Toc307053908"/>
      <w:bookmarkStart w:id="18" w:name="_Toc94186569"/>
      <w:bookmarkStart w:id="19" w:name="_Toc253743965"/>
      <w:bookmarkStart w:id="20" w:name="_Toc253584909"/>
      <w:bookmarkStart w:id="21" w:name="_Toc306956198"/>
      <w:bookmarkStart w:id="22" w:name="_Toc306766267"/>
      <w:bookmarkStart w:id="23" w:name="_Toc16983"/>
      <w:bookmarkStart w:id="24" w:name="_Toc253594477"/>
      <w:bookmarkStart w:id="25" w:name="_Toc306780058"/>
      <w:bookmarkStart w:id="26" w:name="_Toc252935339"/>
      <w:r>
        <w:rPr>
          <w:rFonts w:hint="eastAsia"/>
          <w:color w:val="000000" w:themeColor="text1"/>
          <w14:textFill>
            <w14:solidFill>
              <w14:schemeClr w14:val="tx1"/>
            </w14:solidFill>
          </w14:textFill>
        </w:rPr>
        <w:t>目的和意义</w:t>
      </w:r>
      <w:bookmarkEnd w:id="17"/>
      <w:bookmarkEnd w:id="18"/>
      <w:bookmarkEnd w:id="19"/>
      <w:bookmarkEnd w:id="20"/>
      <w:bookmarkEnd w:id="21"/>
      <w:bookmarkEnd w:id="22"/>
      <w:bookmarkEnd w:id="23"/>
      <w:bookmarkEnd w:id="24"/>
      <w:bookmarkEnd w:id="25"/>
      <w:bookmarkEnd w:id="26"/>
    </w:p>
    <w:p>
      <w:pPr>
        <w:spacing w:line="360" w:lineRule="auto"/>
        <w:ind w:firstLine="560" w:firstLineChars="200"/>
        <w:jc w:val="left"/>
        <w:rPr>
          <w:rFonts w:hint="eastAsia" w:cs="仿宋_GB2312"/>
          <w:szCs w:val="22"/>
        </w:rPr>
      </w:pPr>
      <w:bookmarkStart w:id="27" w:name="_Toc94186570"/>
      <w:r>
        <w:rPr>
          <w:rFonts w:cs="仿宋_GB2312"/>
          <w:szCs w:val="22"/>
        </w:rPr>
        <w:t>在能源问题和环境保护问题的双重制约下，发展电动汽车已经成为全世界的必然趋势。电动汽车作为实现节能减排的有效途径，已被国家上升为战略层面，受到了我国各级政府的高度重视。为大力推广电动汽车的应用，2020年11月2日，国务院办公厅印发了《新能源汽车产业发展规划（2021-2035）》，规划提出，全面推进蓝天、碧水、净土、静音保卫战，推动绿色发展和生态文明建设，加快电动汽车产业的发展和电动汽车推广应用步伐。</w:t>
      </w:r>
      <w:r>
        <w:drawing>
          <wp:inline distT="0" distB="0" distL="0" distR="0">
            <wp:extent cx="5274310" cy="2967355"/>
            <wp:effectExtent l="0" t="0" r="2540" b="4445"/>
            <wp:docPr id="9548200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820075" name="图片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5274310" cy="2967355"/>
                    </a:xfrm>
                    <a:prstGeom prst="rect">
                      <a:avLst/>
                    </a:prstGeom>
                    <a:noFill/>
                    <a:ln>
                      <a:noFill/>
                    </a:ln>
                  </pic:spPr>
                </pic:pic>
              </a:graphicData>
            </a:graphic>
          </wp:inline>
        </w:drawing>
      </w:r>
    </w:p>
    <w:p>
      <w:pPr>
        <w:spacing w:line="360" w:lineRule="auto"/>
        <w:ind w:firstLine="560" w:firstLineChars="200"/>
        <w:jc w:val="left"/>
        <w:rPr>
          <w:rFonts w:hint="eastAsia" w:cs="仿宋_GB2312"/>
          <w:szCs w:val="22"/>
        </w:rPr>
      </w:pPr>
      <w:r>
        <w:rPr>
          <w:rFonts w:cs="仿宋_GB2312"/>
          <w:szCs w:val="22"/>
        </w:rPr>
        <w:t>与此同时，作为电动汽车能源输入端，电动汽车充电设施的建设在近几年也得到飞速</w:t>
      </w:r>
      <w:r>
        <w:rPr>
          <w:rFonts w:hint="eastAsia" w:cs="仿宋_GB2312"/>
          <w:szCs w:val="22"/>
        </w:rPr>
        <w:t>地</w:t>
      </w:r>
      <w:r>
        <w:rPr>
          <w:rFonts w:cs="仿宋_GB2312"/>
          <w:szCs w:val="22"/>
        </w:rPr>
        <w:t>发展。</w:t>
      </w:r>
      <w:r>
        <w:rPr>
          <w:rFonts w:hint="eastAsia" w:cs="仿宋_GB2312"/>
          <w:szCs w:val="22"/>
        </w:rPr>
        <w:t>十四五以来</w:t>
      </w:r>
      <w:r>
        <w:rPr>
          <w:rFonts w:cs="仿宋_GB2312"/>
          <w:szCs w:val="22"/>
        </w:rPr>
        <w:t>，国家将电动汽车充电桩建设列入“新基建”工程名单，电动汽车充电桩建设迎来进一步的发展机遇。</w:t>
      </w:r>
    </w:p>
    <w:p>
      <w:pPr>
        <w:spacing w:line="360" w:lineRule="auto"/>
        <w:ind w:firstLine="560" w:firstLineChars="200"/>
        <w:rPr>
          <w:rFonts w:hint="eastAsia" w:cs="仿宋_GB2312"/>
          <w:szCs w:val="22"/>
        </w:rPr>
      </w:pPr>
      <w:r>
        <w:rPr>
          <w:rFonts w:cs="仿宋_GB2312"/>
          <w:szCs w:val="22"/>
        </w:rPr>
        <w:t>电动汽车充电设施的建设及布局对推动电动汽车的发展起着重要作用。科学合理地确定充电站的位置及规模，不仅影响着充电站的服务质量、运营效益以及运营安全性，还将直接关系到电动汽车用户出行的便捷性和资源配置的有效性。随着电动汽车充电桩的大规模接入电网，其将对电网的运行质量及运营模式产生巨大的影响，并带来可靠性、安全性等一系列的问题。电动汽车充电站的选址及充电设施同电网协调发展已成为当前普遍关注的重点及热点问题。为贯彻落实国务院办公厅</w:t>
      </w:r>
      <w:r>
        <w:rPr>
          <w:rFonts w:hint="eastAsia" w:cs="仿宋_GB2312"/>
          <w:szCs w:val="22"/>
        </w:rPr>
        <w:t>《</w:t>
      </w:r>
      <w:r>
        <w:rPr>
          <w:rFonts w:cs="仿宋_GB2312"/>
          <w:szCs w:val="22"/>
        </w:rPr>
        <w:t>新能源汽车产业发展规划（2021－2035年）》、省发改委《</w:t>
      </w:r>
      <w:r>
        <w:rPr>
          <w:rFonts w:hint="eastAsia" w:cs="仿宋_GB2312"/>
          <w:szCs w:val="22"/>
        </w:rPr>
        <w:t>辽宁省“十四五”电动汽车充电基础设施专项规划</w:t>
      </w:r>
      <w:r>
        <w:rPr>
          <w:rFonts w:cs="仿宋_GB2312"/>
          <w:szCs w:val="22"/>
        </w:rPr>
        <w:t>》等文件精神，促进</w:t>
      </w:r>
      <w:r>
        <w:rPr>
          <w:rFonts w:hint="eastAsia" w:cs="仿宋_GB2312"/>
          <w:szCs w:val="22"/>
        </w:rPr>
        <w:t>桓仁满族自治县</w:t>
      </w:r>
      <w:r>
        <w:rPr>
          <w:rFonts w:cs="仿宋_GB2312"/>
          <w:szCs w:val="22"/>
        </w:rPr>
        <w:t>电动汽车充电设施稳定快速发展，特编制本次《</w:t>
      </w:r>
      <w:r>
        <w:rPr>
          <w:rFonts w:hint="eastAsia" w:cs="仿宋_GB2312"/>
          <w:szCs w:val="22"/>
        </w:rPr>
        <w:t>桓仁满族自治县</w:t>
      </w:r>
      <w:r>
        <w:rPr>
          <w:rFonts w:cs="仿宋_GB2312"/>
          <w:szCs w:val="22"/>
        </w:rPr>
        <w:t>电动汽车充电设施布局规划</w:t>
      </w:r>
      <w:r>
        <w:rPr>
          <w:rFonts w:hint="eastAsia" w:cs="仿宋_GB2312"/>
          <w:szCs w:val="22"/>
        </w:rPr>
        <w:t>（2</w:t>
      </w:r>
      <w:r>
        <w:rPr>
          <w:rFonts w:cs="仿宋_GB2312"/>
          <w:szCs w:val="22"/>
        </w:rPr>
        <w:t>023~2028</w:t>
      </w:r>
      <w:r>
        <w:rPr>
          <w:rFonts w:hint="eastAsia" w:cs="仿宋_GB2312"/>
          <w:szCs w:val="22"/>
        </w:rPr>
        <w:t>年）</w:t>
      </w:r>
      <w:r>
        <w:rPr>
          <w:rFonts w:cs="仿宋_GB2312"/>
          <w:szCs w:val="22"/>
        </w:rPr>
        <w:t>》。</w:t>
      </w:r>
    </w:p>
    <w:p>
      <w:pPr>
        <w:pStyle w:val="3"/>
      </w:pPr>
      <w:bookmarkStart w:id="28" w:name="_Toc17464"/>
      <w:r>
        <w:rPr>
          <w:rFonts w:hint="eastAsia"/>
          <w:color w:val="000000" w:themeColor="text1"/>
          <w14:textFill>
            <w14:solidFill>
              <w14:schemeClr w14:val="tx1"/>
            </w14:solidFill>
          </w14:textFill>
        </w:rPr>
        <w:t>指导思想</w:t>
      </w:r>
      <w:bookmarkEnd w:id="27"/>
      <w:bookmarkEnd w:id="28"/>
    </w:p>
    <w:p>
      <w:pPr>
        <w:spacing w:line="360" w:lineRule="auto"/>
        <w:ind w:firstLine="562" w:firstLineChars="200"/>
        <w:rPr>
          <w:rFonts w:hint="eastAsia"/>
          <w:szCs w:val="28"/>
        </w:rPr>
      </w:pPr>
      <w:bookmarkStart w:id="29" w:name="_Toc94186571"/>
      <w:r>
        <w:rPr>
          <w:b/>
          <w:bCs/>
        </w:rPr>
        <w:t>科学合理</w:t>
      </w:r>
      <w:r>
        <w:rPr>
          <w:rFonts w:hint="eastAsia"/>
          <w:b/>
          <w:bCs/>
        </w:rPr>
        <w:t>：</w:t>
      </w:r>
      <w:r>
        <w:t>贯彻执行国家有关法律法规、技术标准、产业发展规划和节能环保政策，</w:t>
      </w:r>
      <w:r>
        <w:rPr>
          <w:rFonts w:hint="eastAsia"/>
          <w:szCs w:val="28"/>
        </w:rPr>
        <w:t>分析桓仁满族自治县</w:t>
      </w:r>
      <w:r>
        <w:rPr>
          <w:szCs w:val="28"/>
        </w:rPr>
        <w:t>电动汽车及充电设施发展现状和趋势</w:t>
      </w:r>
      <w:r>
        <w:rPr>
          <w:rFonts w:hint="eastAsia"/>
          <w:szCs w:val="28"/>
        </w:rPr>
        <w:t>，预测桓仁满族自治县</w:t>
      </w:r>
      <w:r>
        <w:rPr>
          <w:szCs w:val="28"/>
        </w:rPr>
        <w:t>电动汽车充电设施建设需求</w:t>
      </w:r>
      <w:r>
        <w:rPr>
          <w:rFonts w:hint="eastAsia"/>
          <w:szCs w:val="28"/>
        </w:rPr>
        <w:t>以及投资规模，同时做出桓仁满族自治县</w:t>
      </w:r>
      <w:r>
        <w:rPr>
          <w:szCs w:val="28"/>
        </w:rPr>
        <w:t>电动汽车充换电服务网络发展规划</w:t>
      </w:r>
      <w:r>
        <w:rPr>
          <w:rFonts w:hint="eastAsia"/>
          <w:szCs w:val="28"/>
        </w:rPr>
        <w:t>，以此达到</w:t>
      </w:r>
      <w:r>
        <w:t>技术先进、安全可靠、经济合理、使用便利</w:t>
      </w:r>
      <w:r>
        <w:rPr>
          <w:rFonts w:hint="eastAsia"/>
        </w:rPr>
        <w:t>的</w:t>
      </w:r>
      <w:r>
        <w:t>充电设施布局规划。</w:t>
      </w:r>
    </w:p>
    <w:p>
      <w:pPr>
        <w:spacing w:line="360" w:lineRule="auto"/>
        <w:ind w:firstLine="562" w:firstLineChars="200"/>
        <w:rPr>
          <w:rFonts w:hint="eastAsia"/>
        </w:rPr>
      </w:pPr>
      <w:r>
        <w:rPr>
          <w:b/>
          <w:bCs/>
        </w:rPr>
        <w:t>多规协同</w:t>
      </w:r>
      <w:r>
        <w:rPr>
          <w:rFonts w:hint="eastAsia"/>
          <w:b/>
          <w:bCs/>
        </w:rPr>
        <w:t>：</w:t>
      </w:r>
      <w:r>
        <w:t>公共充电设施布局规划</w:t>
      </w:r>
      <w:r>
        <w:rPr>
          <w:rFonts w:hint="eastAsia"/>
        </w:rPr>
        <w:t>要</w:t>
      </w:r>
      <w:r>
        <w:t>符合国民经济和社会发展规划，</w:t>
      </w:r>
      <w:r>
        <w:rPr>
          <w:rFonts w:hint="eastAsia"/>
          <w:szCs w:val="28"/>
        </w:rPr>
        <w:t>需将规划有关内容纳入</w:t>
      </w:r>
      <w:r>
        <w:t>国土空间规划、电网规划、停车规划、道路交通规划以及其他相关规划</w:t>
      </w:r>
      <w:r>
        <w:rPr>
          <w:rFonts w:hint="eastAsia"/>
        </w:rPr>
        <w:t>中</w:t>
      </w:r>
      <w:r>
        <w:t>，与城市公交、公路客运、停车场、加油站等设施建设有机结合，</w:t>
      </w:r>
      <w:r>
        <w:rPr>
          <w:rFonts w:hint="eastAsia"/>
          <w:szCs w:val="28"/>
        </w:rPr>
        <w:t>完善独立占地的充电基础设施布局。同时明确各类建筑物配建停车场及社会公共停车场中充电设施的建设比例或预留建设安装条件要求。以用户居住地停车位、单位停车场、公交及出租车场站等配建的专用充电设施为主体，以公共建筑物停车场、社会公共停车场、临时停车位等配建的公共充电设施为辅助，</w:t>
      </w:r>
      <w:r>
        <w:t>避免对城市交通、景观造成负面干扰和影响。</w:t>
      </w:r>
    </w:p>
    <w:p>
      <w:pPr>
        <w:spacing w:line="360" w:lineRule="auto"/>
        <w:ind w:firstLine="562" w:firstLineChars="200"/>
        <w:rPr>
          <w:rFonts w:hint="eastAsia"/>
        </w:rPr>
      </w:pPr>
      <w:r>
        <w:rPr>
          <w:b/>
          <w:bCs/>
        </w:rPr>
        <w:t>因地制宜</w:t>
      </w:r>
      <w:r>
        <w:rPr>
          <w:rFonts w:hint="eastAsia"/>
          <w:b/>
          <w:bCs/>
        </w:rPr>
        <w:t>：</w:t>
      </w:r>
      <w:r>
        <w:t>根据</w:t>
      </w:r>
      <w:r>
        <w:rPr>
          <w:rFonts w:hint="eastAsia"/>
        </w:rPr>
        <w:t>桓仁满族自治县的</w:t>
      </w:r>
      <w:r>
        <w:t>发展需求和应用特点，紧密结合不同</w:t>
      </w:r>
      <w:r>
        <w:rPr>
          <w:rFonts w:hint="eastAsia"/>
        </w:rPr>
        <w:t>区域</w:t>
      </w:r>
      <w:r>
        <w:t>、不同层次的充电需求，</w:t>
      </w:r>
      <w:r>
        <w:rPr>
          <w:rFonts w:ascii="仿宋_GB2312"/>
          <w:szCs w:val="28"/>
        </w:rPr>
        <w:t>遵循</w:t>
      </w:r>
      <w:r>
        <w:rPr>
          <w:szCs w:val="28"/>
        </w:rPr>
        <w:t>“</w:t>
      </w:r>
      <w:r>
        <w:rPr>
          <w:rFonts w:ascii="仿宋_GB2312"/>
          <w:szCs w:val="28"/>
        </w:rPr>
        <w:t>市场主导、快慢互济</w:t>
      </w:r>
      <w:r>
        <w:rPr>
          <w:szCs w:val="28"/>
        </w:rPr>
        <w:t>”</w:t>
      </w:r>
      <w:r>
        <w:rPr>
          <w:rFonts w:ascii="仿宋_GB2312"/>
          <w:szCs w:val="28"/>
        </w:rPr>
        <w:t>的技术导向，科学把握发展节奏，</w:t>
      </w:r>
      <w:r>
        <w:t>分类有序实施，</w:t>
      </w:r>
      <w:r>
        <w:rPr>
          <w:rFonts w:ascii="仿宋_GB2312"/>
          <w:szCs w:val="28"/>
        </w:rPr>
        <w:t>加大交通、市政、电力等公共资源整合力度，</w:t>
      </w:r>
      <w:r>
        <w:t>合理布局充电基础设施，科学确定建设规模和空间布局。</w:t>
      </w:r>
    </w:p>
    <w:p>
      <w:pPr>
        <w:spacing w:line="360" w:lineRule="auto"/>
        <w:ind w:firstLine="562" w:firstLineChars="200"/>
        <w:rPr>
          <w:rFonts w:hint="eastAsia"/>
        </w:rPr>
      </w:pPr>
      <w:r>
        <w:rPr>
          <w:b/>
          <w:bCs/>
        </w:rPr>
        <w:t>适度超前</w:t>
      </w:r>
      <w:r>
        <w:rPr>
          <w:rFonts w:hint="eastAsia"/>
          <w:b/>
          <w:bCs/>
        </w:rPr>
        <w:t>：</w:t>
      </w:r>
      <w:r>
        <w:t>对电动汽车推广应用进度快的地方，</w:t>
      </w:r>
      <w:r>
        <w:rPr>
          <w:rFonts w:ascii="仿宋_GB2312"/>
          <w:szCs w:val="28"/>
        </w:rPr>
        <w:t>加强充电基础设施发展的顶层设计，将充电基础设施放在更加重要的位置，从发展全局的高度进行整体统筹，建立政府有关部门与相关企业各司其职、各尽所能、群策群力、合作共赢的系统推进机制，按照</w:t>
      </w:r>
      <w:r>
        <w:rPr>
          <w:szCs w:val="28"/>
        </w:rPr>
        <w:t>“</w:t>
      </w:r>
      <w:r>
        <w:rPr>
          <w:rFonts w:ascii="仿宋_GB2312"/>
          <w:szCs w:val="28"/>
        </w:rPr>
        <w:t>桩站先行</w:t>
      </w:r>
      <w:r>
        <w:rPr>
          <w:szCs w:val="28"/>
        </w:rPr>
        <w:t>”</w:t>
      </w:r>
      <w:r>
        <w:rPr>
          <w:rFonts w:ascii="仿宋_GB2312"/>
          <w:szCs w:val="28"/>
        </w:rPr>
        <w:t>的原则，适度超前建设，</w:t>
      </w:r>
      <w:r>
        <w:t>适应电动汽车产业发展的需要，保证居民放心购买、使用电动汽车。</w:t>
      </w:r>
    </w:p>
    <w:p>
      <w:pPr>
        <w:pStyle w:val="3"/>
      </w:pPr>
      <w:bookmarkStart w:id="30" w:name="_Toc27016"/>
      <w:r>
        <w:rPr>
          <w:rFonts w:hint="eastAsia"/>
          <w:color w:val="000000" w:themeColor="text1"/>
          <w14:textFill>
            <w14:solidFill>
              <w14:schemeClr w14:val="tx1"/>
            </w14:solidFill>
          </w14:textFill>
        </w:rPr>
        <w:t>规划范围及年限</w:t>
      </w:r>
      <w:bookmarkEnd w:id="29"/>
      <w:bookmarkEnd w:id="30"/>
    </w:p>
    <w:p>
      <w:pPr>
        <w:spacing w:line="360" w:lineRule="auto"/>
        <w:ind w:firstLine="560" w:firstLineChars="200"/>
        <w:jc w:val="left"/>
        <w:rPr>
          <w:rFonts w:hint="eastAsia"/>
        </w:rPr>
      </w:pPr>
      <w:bookmarkStart w:id="31" w:name="_Toc94186572"/>
      <w:r>
        <w:rPr>
          <w:rFonts w:hint="eastAsia"/>
        </w:rPr>
        <w:t>规划范围：本次规划范围为桓仁满族自治县行政区划范围，桓仁满族自治县管辖地域面积为</w:t>
      </w:r>
      <w:r>
        <w:t>3547</w:t>
      </w:r>
      <w:r>
        <w:rPr>
          <w:rFonts w:hint="eastAsia"/>
        </w:rPr>
        <w:t>平方公里,下辖</w:t>
      </w:r>
      <w:r>
        <w:t>1</w:t>
      </w:r>
      <w:r>
        <w:rPr>
          <w:rFonts w:hint="eastAsia"/>
        </w:rPr>
        <w:t>个街道、8个镇、4个乡（八卦城、桓仁镇、普乐堡镇、二棚甸子镇、沙尖子镇、五里甸子镇、八里甸子镇、华来镇、古城镇、雅河朝鲜族乡、向阳乡、黑沟乡、北甸子乡）。共有</w:t>
      </w:r>
      <w:r>
        <w:t>103</w:t>
      </w:r>
      <w:r>
        <w:rPr>
          <w:rFonts w:hint="eastAsia"/>
        </w:rPr>
        <w:t>个村、</w:t>
      </w:r>
      <w:r>
        <w:t>21</w:t>
      </w:r>
      <w:r>
        <w:rPr>
          <w:rFonts w:hint="eastAsia"/>
        </w:rPr>
        <w:t>个社区。</w:t>
      </w:r>
    </w:p>
    <w:p>
      <w:pPr>
        <w:spacing w:line="360" w:lineRule="auto"/>
        <w:jc w:val="center"/>
        <w:rPr>
          <w:rFonts w:hint="eastAsia"/>
        </w:rPr>
      </w:pPr>
      <w:r>
        <w:drawing>
          <wp:inline distT="0" distB="0" distL="0" distR="0">
            <wp:extent cx="5400675" cy="4211320"/>
            <wp:effectExtent l="0" t="0" r="9525" b="0"/>
            <wp:docPr id="156271537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715379" name="图片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400675" cy="4211320"/>
                    </a:xfrm>
                    <a:prstGeom prst="rect">
                      <a:avLst/>
                    </a:prstGeom>
                    <a:noFill/>
                    <a:ln>
                      <a:noFill/>
                    </a:ln>
                  </pic:spPr>
                </pic:pic>
              </a:graphicData>
            </a:graphic>
          </wp:inline>
        </w:drawing>
      </w:r>
    </w:p>
    <w:p>
      <w:pPr>
        <w:pStyle w:val="8"/>
      </w:pPr>
      <w:r>
        <w:rPr>
          <w:rFonts w:hint="eastAsia"/>
        </w:rPr>
        <w:t>乡镇划分示意图</w:t>
      </w:r>
      <w:r>
        <w:t xml:space="preserve"> </w:t>
      </w:r>
    </w:p>
    <w:p>
      <w:pPr>
        <w:spacing w:line="360" w:lineRule="auto"/>
        <w:ind w:firstLine="560" w:firstLineChars="200"/>
        <w:rPr>
          <w:rFonts w:hint="eastAsia"/>
        </w:rPr>
      </w:pPr>
      <w:r>
        <w:rPr>
          <w:rFonts w:hint="eastAsia"/>
        </w:rPr>
        <w:t>规划年限：规划基准年为202</w:t>
      </w:r>
      <w:r>
        <w:t>2</w:t>
      </w:r>
      <w:r>
        <w:rPr>
          <w:rFonts w:hint="eastAsia"/>
        </w:rPr>
        <w:t>年，规划水平年为202</w:t>
      </w:r>
      <w:r>
        <w:t>8</w:t>
      </w:r>
      <w:r>
        <w:rPr>
          <w:rFonts w:hint="eastAsia"/>
        </w:rPr>
        <w:t>年，远期展望至2035年。</w:t>
      </w:r>
    </w:p>
    <w:p>
      <w:pPr>
        <w:pStyle w:val="3"/>
      </w:pPr>
      <w:bookmarkStart w:id="32" w:name="_Toc32624"/>
      <w:r>
        <w:rPr>
          <w:rFonts w:hint="eastAsia"/>
          <w:color w:val="000000" w:themeColor="text1"/>
          <w14:textFill>
            <w14:solidFill>
              <w14:schemeClr w14:val="tx1"/>
            </w14:solidFill>
          </w14:textFill>
        </w:rPr>
        <w:t>编制依据</w:t>
      </w:r>
      <w:bookmarkEnd w:id="31"/>
      <w:bookmarkEnd w:id="32"/>
    </w:p>
    <w:p>
      <w:pPr>
        <w:spacing w:line="360" w:lineRule="auto"/>
        <w:ind w:firstLine="562" w:firstLineChars="200"/>
        <w:rPr>
          <w:rFonts w:ascii="仿宋_GB2312" w:hAnsi="仿宋_GB2312" w:cs="仿宋_GB2312"/>
          <w:b/>
          <w:bCs/>
          <w:color w:val="000000" w:themeColor="text1"/>
          <w14:textFill>
            <w14:solidFill>
              <w14:schemeClr w14:val="tx1"/>
            </w14:solidFill>
          </w14:textFill>
        </w:rPr>
      </w:pPr>
      <w:r>
        <w:rPr>
          <w:rFonts w:hint="eastAsia" w:ascii="仿宋_GB2312" w:hAnsi="仿宋_GB2312" w:cs="仿宋_GB2312"/>
          <w:b/>
          <w:bCs/>
          <w:color w:val="000000" w:themeColor="text1"/>
          <w14:textFill>
            <w14:solidFill>
              <w14:schemeClr w14:val="tx1"/>
            </w14:solidFill>
          </w14:textFill>
        </w:rPr>
        <w:t>（1）法规文件</w:t>
      </w:r>
    </w:p>
    <w:p>
      <w:pPr>
        <w:spacing w:line="360" w:lineRule="auto"/>
        <w:ind w:firstLine="560" w:firstLineChars="200"/>
        <w:rPr>
          <w:rFonts w:hint="eastAsia" w:cs="仿宋_GB2312"/>
          <w:color w:val="000000" w:themeColor="text1"/>
          <w:szCs w:val="22"/>
          <w14:textFill>
            <w14:solidFill>
              <w14:schemeClr w14:val="tx1"/>
            </w14:solidFill>
          </w14:textFill>
        </w:rPr>
      </w:pPr>
      <w:r>
        <w:rPr>
          <w:rFonts w:cs="仿宋_GB2312"/>
          <w:color w:val="000000" w:themeColor="text1"/>
          <w:szCs w:val="22"/>
          <w14:textFill>
            <w14:solidFill>
              <w14:schemeClr w14:val="tx1"/>
            </w14:solidFill>
          </w14:textFill>
        </w:rPr>
        <w:t>1</w:t>
      </w:r>
      <w:r>
        <w:rPr>
          <w:rFonts w:hint="eastAsia" w:cs="仿宋_GB2312"/>
          <w:color w:val="000000" w:themeColor="text1"/>
          <w:szCs w:val="22"/>
          <w14:textFill>
            <w14:solidFill>
              <w14:schemeClr w14:val="tx1"/>
            </w14:solidFill>
          </w14:textFill>
        </w:rPr>
        <w:t>、中华人民共和国城乡规划法（中华人民共和国主席令第</w:t>
      </w:r>
      <w:r>
        <w:rPr>
          <w:rFonts w:cs="仿宋_GB2312"/>
          <w:color w:val="000000" w:themeColor="text1"/>
          <w:szCs w:val="22"/>
          <w14:textFill>
            <w14:solidFill>
              <w14:schemeClr w14:val="tx1"/>
            </w14:solidFill>
          </w14:textFill>
        </w:rPr>
        <w:t xml:space="preserve"> 74 </w:t>
      </w:r>
      <w:r>
        <w:rPr>
          <w:rFonts w:hint="eastAsia" w:cs="仿宋_GB2312"/>
          <w:color w:val="000000" w:themeColor="text1"/>
          <w:szCs w:val="22"/>
          <w14:textFill>
            <w14:solidFill>
              <w14:schemeClr w14:val="tx1"/>
            </w14:solidFill>
          </w14:textFill>
        </w:rPr>
        <w:t>号）；</w:t>
      </w:r>
    </w:p>
    <w:p>
      <w:pPr>
        <w:spacing w:line="360" w:lineRule="auto"/>
        <w:ind w:firstLine="560" w:firstLineChars="200"/>
        <w:rPr>
          <w:rFonts w:hint="eastAsia" w:cs="仿宋_GB2312"/>
          <w:color w:val="000000" w:themeColor="text1"/>
          <w:szCs w:val="22"/>
          <w14:textFill>
            <w14:solidFill>
              <w14:schemeClr w14:val="tx1"/>
            </w14:solidFill>
          </w14:textFill>
        </w:rPr>
      </w:pPr>
      <w:r>
        <w:rPr>
          <w:rFonts w:cs="仿宋_GB2312"/>
          <w:color w:val="000000" w:themeColor="text1"/>
          <w:szCs w:val="22"/>
          <w14:textFill>
            <w14:solidFill>
              <w14:schemeClr w14:val="tx1"/>
            </w14:solidFill>
          </w14:textFill>
        </w:rPr>
        <w:t>2</w:t>
      </w:r>
      <w:r>
        <w:rPr>
          <w:rFonts w:hint="eastAsia" w:cs="仿宋_GB2312"/>
          <w:color w:val="000000" w:themeColor="text1"/>
          <w:szCs w:val="22"/>
          <w14:textFill>
            <w14:solidFill>
              <w14:schemeClr w14:val="tx1"/>
            </w14:solidFill>
          </w14:textFill>
        </w:rPr>
        <w:t>、城市规划编制办法（建设部令第</w:t>
      </w:r>
      <w:r>
        <w:rPr>
          <w:rFonts w:cs="仿宋_GB2312"/>
          <w:color w:val="000000" w:themeColor="text1"/>
          <w:szCs w:val="22"/>
          <w14:textFill>
            <w14:solidFill>
              <w14:schemeClr w14:val="tx1"/>
            </w14:solidFill>
          </w14:textFill>
        </w:rPr>
        <w:t xml:space="preserve"> 146 </w:t>
      </w:r>
      <w:r>
        <w:rPr>
          <w:rFonts w:hint="eastAsia" w:cs="仿宋_GB2312"/>
          <w:color w:val="000000" w:themeColor="text1"/>
          <w:szCs w:val="22"/>
          <w14:textFill>
            <w14:solidFill>
              <w14:schemeClr w14:val="tx1"/>
            </w14:solidFill>
          </w14:textFill>
        </w:rPr>
        <w:t>号）。</w:t>
      </w:r>
    </w:p>
    <w:p>
      <w:pPr>
        <w:spacing w:line="360" w:lineRule="auto"/>
        <w:ind w:firstLine="562" w:firstLineChars="200"/>
        <w:rPr>
          <w:rFonts w:ascii="仿宋_GB2312" w:hAnsi="仿宋_GB2312" w:cs="仿宋_GB2312"/>
          <w:b/>
          <w:bCs/>
          <w:color w:val="000000" w:themeColor="text1"/>
          <w14:textFill>
            <w14:solidFill>
              <w14:schemeClr w14:val="tx1"/>
            </w14:solidFill>
          </w14:textFill>
        </w:rPr>
      </w:pPr>
      <w:r>
        <w:rPr>
          <w:rFonts w:hint="eastAsia" w:ascii="仿宋_GB2312" w:hAnsi="仿宋_GB2312" w:cs="仿宋_GB2312"/>
          <w:b/>
          <w:bCs/>
          <w:color w:val="000000" w:themeColor="text1"/>
          <w14:textFill>
            <w14:solidFill>
              <w14:schemeClr w14:val="tx1"/>
            </w14:solidFill>
          </w14:textFill>
        </w:rPr>
        <w:t>（2）政策文件</w:t>
      </w:r>
    </w:p>
    <w:p>
      <w:pPr>
        <w:spacing w:line="360" w:lineRule="auto"/>
        <w:ind w:firstLine="560" w:firstLineChars="200"/>
        <w:rPr>
          <w:rFonts w:hint="eastAsia" w:cs="仿宋_GB2312"/>
          <w:color w:val="000000" w:themeColor="text1"/>
          <w:szCs w:val="22"/>
          <w14:textFill>
            <w14:solidFill>
              <w14:schemeClr w14:val="tx1"/>
            </w14:solidFill>
          </w14:textFill>
        </w:rPr>
      </w:pPr>
      <w:r>
        <w:rPr>
          <w:rFonts w:cs="仿宋_GB2312"/>
          <w:color w:val="000000" w:themeColor="text1"/>
          <w:szCs w:val="22"/>
          <w14:textFill>
            <w14:solidFill>
              <w14:schemeClr w14:val="tx1"/>
            </w14:solidFill>
          </w14:textFill>
        </w:rPr>
        <w:t>1</w:t>
      </w:r>
      <w:r>
        <w:rPr>
          <w:rFonts w:hint="eastAsia" w:cs="仿宋_GB2312"/>
          <w:color w:val="000000" w:themeColor="text1"/>
          <w:szCs w:val="22"/>
          <w14:textFill>
            <w14:solidFill>
              <w14:schemeClr w14:val="tx1"/>
            </w14:solidFill>
          </w14:textFill>
        </w:rPr>
        <w:t>、《国务院办公厅关于加快新能源汽车推广应用的指导意见》（国办发</w:t>
      </w:r>
      <w:r>
        <w:rPr>
          <w:rFonts w:cs="仿宋_GB2312"/>
          <w:color w:val="000000" w:themeColor="text1"/>
          <w:szCs w:val="22"/>
          <w14:textFill>
            <w14:solidFill>
              <w14:schemeClr w14:val="tx1"/>
            </w14:solidFill>
          </w14:textFill>
        </w:rPr>
        <w:t>35</w:t>
      </w:r>
      <w:r>
        <w:rPr>
          <w:rFonts w:hint="eastAsia" w:cs="仿宋_GB2312"/>
          <w:color w:val="000000" w:themeColor="text1"/>
          <w:szCs w:val="22"/>
          <w14:textFill>
            <w14:solidFill>
              <w14:schemeClr w14:val="tx1"/>
            </w14:solidFill>
          </w14:textFill>
        </w:rPr>
        <w:t>号）；</w:t>
      </w:r>
    </w:p>
    <w:p>
      <w:pPr>
        <w:spacing w:line="360" w:lineRule="auto"/>
        <w:ind w:firstLine="560" w:firstLineChars="200"/>
        <w:rPr>
          <w:rFonts w:hint="eastAsia" w:cs="仿宋_GB2312"/>
          <w:color w:val="000000" w:themeColor="text1"/>
          <w:szCs w:val="22"/>
          <w14:textFill>
            <w14:solidFill>
              <w14:schemeClr w14:val="tx1"/>
            </w14:solidFill>
          </w14:textFill>
        </w:rPr>
      </w:pPr>
      <w:r>
        <w:rPr>
          <w:rFonts w:cs="仿宋_GB2312"/>
          <w:color w:val="000000" w:themeColor="text1"/>
          <w:szCs w:val="22"/>
          <w14:textFill>
            <w14:solidFill>
              <w14:schemeClr w14:val="tx1"/>
            </w14:solidFill>
          </w14:textFill>
        </w:rPr>
        <w:t>2</w:t>
      </w:r>
      <w:r>
        <w:rPr>
          <w:rFonts w:hint="eastAsia" w:cs="仿宋_GB2312"/>
          <w:color w:val="000000" w:themeColor="text1"/>
          <w:szCs w:val="22"/>
          <w14:textFill>
            <w14:solidFill>
              <w14:schemeClr w14:val="tx1"/>
            </w14:solidFill>
          </w14:textFill>
        </w:rPr>
        <w:t>、《国务院办公厅关于加快电动汽车充电基础设施建设的指导意见》（国办发〔</w:t>
      </w:r>
      <w:r>
        <w:rPr>
          <w:rFonts w:cs="仿宋_GB2312"/>
          <w:color w:val="000000" w:themeColor="text1"/>
          <w:szCs w:val="22"/>
          <w14:textFill>
            <w14:solidFill>
              <w14:schemeClr w14:val="tx1"/>
            </w14:solidFill>
          </w14:textFill>
        </w:rPr>
        <w:t>2015</w:t>
      </w:r>
      <w:r>
        <w:rPr>
          <w:rFonts w:hint="eastAsia" w:cs="仿宋_GB2312"/>
          <w:color w:val="000000" w:themeColor="text1"/>
          <w:szCs w:val="22"/>
          <w14:textFill>
            <w14:solidFill>
              <w14:schemeClr w14:val="tx1"/>
            </w14:solidFill>
          </w14:textFill>
        </w:rPr>
        <w:t>〕</w:t>
      </w:r>
      <w:r>
        <w:rPr>
          <w:rFonts w:cs="仿宋_GB2312"/>
          <w:color w:val="000000" w:themeColor="text1"/>
          <w:szCs w:val="22"/>
          <w14:textFill>
            <w14:solidFill>
              <w14:schemeClr w14:val="tx1"/>
            </w14:solidFill>
          </w14:textFill>
        </w:rPr>
        <w:t>73</w:t>
      </w:r>
      <w:r>
        <w:rPr>
          <w:rFonts w:hint="eastAsia" w:cs="仿宋_GB2312"/>
          <w:color w:val="000000" w:themeColor="text1"/>
          <w:szCs w:val="22"/>
          <w14:textFill>
            <w14:solidFill>
              <w14:schemeClr w14:val="tx1"/>
            </w14:solidFill>
          </w14:textFill>
        </w:rPr>
        <w:t>号）；</w:t>
      </w:r>
    </w:p>
    <w:p>
      <w:pPr>
        <w:spacing w:line="360" w:lineRule="auto"/>
        <w:ind w:firstLine="560" w:firstLineChars="200"/>
        <w:rPr>
          <w:rFonts w:hint="eastAsia" w:cs="仿宋_GB2312"/>
          <w:color w:val="000000" w:themeColor="text1"/>
          <w:szCs w:val="22"/>
          <w14:textFill>
            <w14:solidFill>
              <w14:schemeClr w14:val="tx1"/>
            </w14:solidFill>
          </w14:textFill>
        </w:rPr>
      </w:pPr>
      <w:r>
        <w:rPr>
          <w:rFonts w:cs="仿宋_GB2312"/>
          <w:color w:val="000000" w:themeColor="text1"/>
          <w:szCs w:val="22"/>
          <w14:textFill>
            <w14:solidFill>
              <w14:schemeClr w14:val="tx1"/>
            </w14:solidFill>
          </w14:textFill>
        </w:rPr>
        <w:t>3</w:t>
      </w:r>
      <w:r>
        <w:rPr>
          <w:rFonts w:hint="eastAsia" w:cs="仿宋_GB2312"/>
          <w:color w:val="000000" w:themeColor="text1"/>
          <w:szCs w:val="22"/>
          <w14:textFill>
            <w14:solidFill>
              <w14:schemeClr w14:val="tx1"/>
            </w14:solidFill>
          </w14:textFill>
        </w:rPr>
        <w:t>、《关于印发</w:t>
      </w:r>
      <w:r>
        <w:rPr>
          <w:rFonts w:cs="仿宋_GB2312"/>
          <w:color w:val="000000" w:themeColor="text1"/>
          <w:szCs w:val="22"/>
          <w14:textFill>
            <w14:solidFill>
              <w14:schemeClr w14:val="tx1"/>
            </w14:solidFill>
          </w14:textFill>
        </w:rPr>
        <w:t>&lt;</w:t>
      </w:r>
      <w:r>
        <w:rPr>
          <w:rFonts w:hint="eastAsia" w:cs="仿宋_GB2312"/>
          <w:color w:val="000000" w:themeColor="text1"/>
          <w:szCs w:val="22"/>
          <w14:textFill>
            <w14:solidFill>
              <w14:schemeClr w14:val="tx1"/>
            </w14:solidFill>
          </w14:textFill>
        </w:rPr>
        <w:t>提升新能源电动汽车充电保障能力行动计划</w:t>
      </w:r>
      <w:r>
        <w:rPr>
          <w:rFonts w:cs="仿宋_GB2312"/>
          <w:color w:val="000000" w:themeColor="text1"/>
          <w:szCs w:val="22"/>
          <w14:textFill>
            <w14:solidFill>
              <w14:schemeClr w14:val="tx1"/>
            </w14:solidFill>
          </w14:textFill>
        </w:rPr>
        <w:t>&gt;</w:t>
      </w:r>
      <w:r>
        <w:rPr>
          <w:rFonts w:hint="eastAsia" w:cs="仿宋_GB2312"/>
          <w:color w:val="000000" w:themeColor="text1"/>
          <w:szCs w:val="22"/>
          <w14:textFill>
            <w14:solidFill>
              <w14:schemeClr w14:val="tx1"/>
            </w14:solidFill>
          </w14:textFill>
        </w:rPr>
        <w:t>的通知》（发改能源〔</w:t>
      </w:r>
      <w:r>
        <w:rPr>
          <w:rFonts w:cs="仿宋_GB2312"/>
          <w:color w:val="000000" w:themeColor="text1"/>
          <w:szCs w:val="22"/>
          <w14:textFill>
            <w14:solidFill>
              <w14:schemeClr w14:val="tx1"/>
            </w14:solidFill>
          </w14:textFill>
        </w:rPr>
        <w:t>2018</w:t>
      </w:r>
      <w:r>
        <w:rPr>
          <w:rFonts w:hint="eastAsia" w:cs="仿宋_GB2312"/>
          <w:color w:val="000000" w:themeColor="text1"/>
          <w:szCs w:val="22"/>
          <w14:textFill>
            <w14:solidFill>
              <w14:schemeClr w14:val="tx1"/>
            </w14:solidFill>
          </w14:textFill>
        </w:rPr>
        <w:t>〕</w:t>
      </w:r>
      <w:r>
        <w:rPr>
          <w:rFonts w:cs="仿宋_GB2312"/>
          <w:color w:val="000000" w:themeColor="text1"/>
          <w:szCs w:val="22"/>
          <w14:textFill>
            <w14:solidFill>
              <w14:schemeClr w14:val="tx1"/>
            </w14:solidFill>
          </w14:textFill>
        </w:rPr>
        <w:t>1698</w:t>
      </w:r>
      <w:r>
        <w:rPr>
          <w:rFonts w:hint="eastAsia" w:cs="仿宋_GB2312"/>
          <w:color w:val="000000" w:themeColor="text1"/>
          <w:szCs w:val="22"/>
          <w14:textFill>
            <w14:solidFill>
              <w14:schemeClr w14:val="tx1"/>
            </w14:solidFill>
          </w14:textFill>
        </w:rPr>
        <w:t>号）；</w:t>
      </w:r>
    </w:p>
    <w:p>
      <w:pPr>
        <w:spacing w:line="360" w:lineRule="auto"/>
        <w:ind w:firstLine="560" w:firstLineChars="200"/>
        <w:rPr>
          <w:rFonts w:hint="eastAsia" w:cs="仿宋_GB2312"/>
          <w:color w:val="000000" w:themeColor="text1"/>
          <w:szCs w:val="22"/>
          <w14:textFill>
            <w14:solidFill>
              <w14:schemeClr w14:val="tx1"/>
            </w14:solidFill>
          </w14:textFill>
        </w:rPr>
      </w:pPr>
      <w:r>
        <w:rPr>
          <w:rFonts w:cs="仿宋_GB2312"/>
          <w:color w:val="000000" w:themeColor="text1"/>
          <w:szCs w:val="22"/>
          <w14:textFill>
            <w14:solidFill>
              <w14:schemeClr w14:val="tx1"/>
            </w14:solidFill>
          </w14:textFill>
        </w:rPr>
        <w:t>4</w:t>
      </w:r>
      <w:r>
        <w:rPr>
          <w:rFonts w:hint="eastAsia" w:cs="仿宋_GB2312"/>
          <w:color w:val="000000" w:themeColor="text1"/>
          <w:szCs w:val="22"/>
          <w14:textFill>
            <w14:solidFill>
              <w14:schemeClr w14:val="tx1"/>
            </w14:solidFill>
          </w14:textFill>
        </w:rPr>
        <w:t>、《关于调整完善新能源汽车推广应用财政补贴政策的通知》（财建〔</w:t>
      </w:r>
      <w:r>
        <w:rPr>
          <w:rFonts w:cs="仿宋_GB2312"/>
          <w:color w:val="000000" w:themeColor="text1"/>
          <w:szCs w:val="22"/>
          <w14:textFill>
            <w14:solidFill>
              <w14:schemeClr w14:val="tx1"/>
            </w14:solidFill>
          </w14:textFill>
        </w:rPr>
        <w:t>2018</w:t>
      </w:r>
      <w:r>
        <w:rPr>
          <w:rFonts w:hint="eastAsia" w:cs="仿宋_GB2312"/>
          <w:color w:val="000000" w:themeColor="text1"/>
          <w:szCs w:val="22"/>
          <w14:textFill>
            <w14:solidFill>
              <w14:schemeClr w14:val="tx1"/>
            </w14:solidFill>
          </w14:textFill>
        </w:rPr>
        <w:t>〕</w:t>
      </w:r>
      <w:r>
        <w:rPr>
          <w:rFonts w:cs="仿宋_GB2312"/>
          <w:color w:val="000000" w:themeColor="text1"/>
          <w:szCs w:val="22"/>
          <w14:textFill>
            <w14:solidFill>
              <w14:schemeClr w14:val="tx1"/>
            </w14:solidFill>
          </w14:textFill>
        </w:rPr>
        <w:t>18</w:t>
      </w:r>
      <w:r>
        <w:rPr>
          <w:rFonts w:hint="eastAsia" w:cs="仿宋_GB2312"/>
          <w:color w:val="000000" w:themeColor="text1"/>
          <w:szCs w:val="22"/>
          <w14:textFill>
            <w14:solidFill>
              <w14:schemeClr w14:val="tx1"/>
            </w14:solidFill>
          </w14:textFill>
        </w:rPr>
        <w:t>号）；</w:t>
      </w:r>
    </w:p>
    <w:p>
      <w:pPr>
        <w:spacing w:line="360" w:lineRule="auto"/>
        <w:ind w:firstLine="560" w:firstLineChars="200"/>
        <w:rPr>
          <w:rFonts w:hint="eastAsia" w:cs="仿宋_GB2312"/>
          <w:color w:val="000000" w:themeColor="text1"/>
          <w:szCs w:val="22"/>
          <w14:textFill>
            <w14:solidFill>
              <w14:schemeClr w14:val="tx1"/>
            </w14:solidFill>
          </w14:textFill>
        </w:rPr>
      </w:pPr>
      <w:r>
        <w:rPr>
          <w:rFonts w:cs="仿宋_GB2312"/>
          <w:color w:val="000000" w:themeColor="text1"/>
          <w:szCs w:val="22"/>
          <w14:textFill>
            <w14:solidFill>
              <w14:schemeClr w14:val="tx1"/>
            </w14:solidFill>
          </w14:textFill>
        </w:rPr>
        <w:t>5</w:t>
      </w:r>
      <w:r>
        <w:rPr>
          <w:rFonts w:hint="eastAsia" w:cs="仿宋_GB2312"/>
          <w:color w:val="000000" w:themeColor="text1"/>
          <w:szCs w:val="22"/>
          <w14:textFill>
            <w14:solidFill>
              <w14:schemeClr w14:val="tx1"/>
            </w14:solidFill>
          </w14:textFill>
        </w:rPr>
        <w:t>、《新能源汽车产业发展规划（</w:t>
      </w:r>
      <w:r>
        <w:rPr>
          <w:rFonts w:cs="仿宋_GB2312"/>
          <w:color w:val="000000" w:themeColor="text1"/>
          <w:szCs w:val="22"/>
          <w14:textFill>
            <w14:solidFill>
              <w14:schemeClr w14:val="tx1"/>
            </w14:solidFill>
          </w14:textFill>
        </w:rPr>
        <w:t>2021</w:t>
      </w:r>
      <w:r>
        <w:rPr>
          <w:rFonts w:hint="eastAsia" w:cs="仿宋_GB2312"/>
          <w:color w:val="000000" w:themeColor="text1"/>
          <w:szCs w:val="22"/>
          <w14:textFill>
            <w14:solidFill>
              <w14:schemeClr w14:val="tx1"/>
            </w14:solidFill>
          </w14:textFill>
        </w:rPr>
        <w:t>～</w:t>
      </w:r>
      <w:r>
        <w:rPr>
          <w:rFonts w:cs="仿宋_GB2312"/>
          <w:color w:val="000000" w:themeColor="text1"/>
          <w:szCs w:val="22"/>
          <w14:textFill>
            <w14:solidFill>
              <w14:schemeClr w14:val="tx1"/>
            </w14:solidFill>
          </w14:textFill>
        </w:rPr>
        <w:t>2035</w:t>
      </w:r>
      <w:r>
        <w:rPr>
          <w:rFonts w:hint="eastAsia" w:cs="仿宋_GB2312"/>
          <w:color w:val="000000" w:themeColor="text1"/>
          <w:szCs w:val="22"/>
          <w14:textFill>
            <w14:solidFill>
              <w14:schemeClr w14:val="tx1"/>
            </w14:solidFill>
          </w14:textFill>
        </w:rPr>
        <w:t>年）》（国办发〔</w:t>
      </w:r>
      <w:r>
        <w:rPr>
          <w:rFonts w:cs="仿宋_GB2312"/>
          <w:color w:val="000000" w:themeColor="text1"/>
          <w:szCs w:val="22"/>
          <w14:textFill>
            <w14:solidFill>
              <w14:schemeClr w14:val="tx1"/>
            </w14:solidFill>
          </w14:textFill>
        </w:rPr>
        <w:t>2020</w:t>
      </w:r>
      <w:r>
        <w:rPr>
          <w:rFonts w:hint="eastAsia" w:cs="仿宋_GB2312"/>
          <w:color w:val="000000" w:themeColor="text1"/>
          <w:szCs w:val="22"/>
          <w14:textFill>
            <w14:solidFill>
              <w14:schemeClr w14:val="tx1"/>
            </w14:solidFill>
          </w14:textFill>
        </w:rPr>
        <w:t>〕</w:t>
      </w:r>
      <w:r>
        <w:rPr>
          <w:rFonts w:cs="仿宋_GB2312"/>
          <w:color w:val="000000" w:themeColor="text1"/>
          <w:szCs w:val="22"/>
          <w14:textFill>
            <w14:solidFill>
              <w14:schemeClr w14:val="tx1"/>
            </w14:solidFill>
          </w14:textFill>
        </w:rPr>
        <w:t>39</w:t>
      </w:r>
      <w:r>
        <w:rPr>
          <w:rFonts w:hint="eastAsia" w:cs="仿宋_GB2312"/>
          <w:color w:val="000000" w:themeColor="text1"/>
          <w:szCs w:val="22"/>
          <w14:textFill>
            <w14:solidFill>
              <w14:schemeClr w14:val="tx1"/>
            </w14:solidFill>
          </w14:textFill>
        </w:rPr>
        <w:t>号）；</w:t>
      </w:r>
    </w:p>
    <w:p>
      <w:pPr>
        <w:spacing w:line="360" w:lineRule="auto"/>
        <w:ind w:firstLine="562" w:firstLineChars="200"/>
        <w:rPr>
          <w:rFonts w:ascii="仿宋_GB2312" w:hAnsi="仿宋_GB2312" w:cs="仿宋_GB2312"/>
          <w:b/>
          <w:bCs/>
          <w:color w:val="000000" w:themeColor="text1"/>
          <w14:textFill>
            <w14:solidFill>
              <w14:schemeClr w14:val="tx1"/>
            </w14:solidFill>
          </w14:textFill>
        </w:rPr>
      </w:pPr>
      <w:r>
        <w:rPr>
          <w:rFonts w:hint="eastAsia" w:ascii="仿宋_GB2312" w:hAnsi="仿宋_GB2312" w:cs="仿宋_GB2312"/>
          <w:b/>
          <w:bCs/>
          <w:color w:val="000000" w:themeColor="text1"/>
          <w14:textFill>
            <w14:solidFill>
              <w14:schemeClr w14:val="tx1"/>
            </w14:solidFill>
          </w14:textFill>
        </w:rPr>
        <w:t>（3）规划文件</w:t>
      </w:r>
    </w:p>
    <w:p>
      <w:pPr>
        <w:spacing w:line="360" w:lineRule="auto"/>
        <w:ind w:firstLine="560" w:firstLineChars="200"/>
        <w:rPr>
          <w:rFonts w:hint="eastAsia" w:cs="仿宋_GB2312"/>
          <w:color w:val="000000" w:themeColor="text1"/>
          <w:szCs w:val="22"/>
          <w14:textFill>
            <w14:solidFill>
              <w14:schemeClr w14:val="tx1"/>
            </w14:solidFill>
          </w14:textFill>
        </w:rPr>
      </w:pPr>
      <w:r>
        <w:rPr>
          <w:rFonts w:cs="仿宋_GB2312"/>
          <w:color w:val="000000" w:themeColor="text1"/>
          <w:szCs w:val="22"/>
          <w14:textFill>
            <w14:solidFill>
              <w14:schemeClr w14:val="tx1"/>
            </w14:solidFill>
          </w14:textFill>
        </w:rPr>
        <w:t>1</w:t>
      </w:r>
      <w:r>
        <w:rPr>
          <w:rFonts w:hint="eastAsia" w:cs="仿宋_GB2312"/>
          <w:color w:val="000000" w:themeColor="text1"/>
          <w:szCs w:val="22"/>
          <w14:textFill>
            <w14:solidFill>
              <w14:schemeClr w14:val="tx1"/>
            </w14:solidFill>
          </w14:textFill>
        </w:rPr>
        <w:t>、辽宁省加快发展新能源汽车的实施方案；</w:t>
      </w:r>
    </w:p>
    <w:p>
      <w:pPr>
        <w:spacing w:line="360" w:lineRule="auto"/>
        <w:ind w:firstLine="560" w:firstLineChars="200"/>
        <w:rPr>
          <w:rFonts w:hint="eastAsia" w:cs="仿宋_GB2312"/>
          <w:color w:val="FF0000"/>
          <w:szCs w:val="22"/>
        </w:rPr>
      </w:pPr>
      <w:r>
        <w:rPr>
          <w:rFonts w:cs="仿宋_GB2312"/>
          <w:color w:val="000000" w:themeColor="text1"/>
          <w:szCs w:val="22"/>
          <w14:textFill>
            <w14:solidFill>
              <w14:schemeClr w14:val="tx1"/>
            </w14:solidFill>
          </w14:textFill>
        </w:rPr>
        <w:t>2</w:t>
      </w:r>
      <w:r>
        <w:rPr>
          <w:rFonts w:hint="eastAsia" w:cs="仿宋_GB2312"/>
          <w:color w:val="000000" w:themeColor="text1"/>
          <w:szCs w:val="22"/>
          <w14:textFill>
            <w14:solidFill>
              <w14:schemeClr w14:val="tx1"/>
            </w14:solidFill>
          </w14:textFill>
        </w:rPr>
        <w:t>、</w:t>
      </w:r>
      <w:r>
        <w:rPr>
          <w:rFonts w:hint="eastAsia" w:cs="仿宋_GB2312"/>
          <w:szCs w:val="22"/>
        </w:rPr>
        <w:t>本溪市桓仁满族自治县城市总体规划（</w:t>
      </w:r>
      <w:r>
        <w:rPr>
          <w:rFonts w:cs="仿宋_GB2312"/>
          <w:szCs w:val="22"/>
        </w:rPr>
        <w:t>2021</w:t>
      </w:r>
      <w:r>
        <w:rPr>
          <w:rFonts w:hint="eastAsia" w:cs="仿宋_GB2312"/>
          <w:szCs w:val="22"/>
        </w:rPr>
        <w:t>—</w:t>
      </w:r>
      <w:r>
        <w:rPr>
          <w:rFonts w:cs="仿宋_GB2312"/>
          <w:szCs w:val="22"/>
        </w:rPr>
        <w:t>2035</w:t>
      </w:r>
      <w:r>
        <w:rPr>
          <w:rFonts w:hint="eastAsia" w:cs="仿宋_GB2312"/>
          <w:szCs w:val="22"/>
        </w:rPr>
        <w:t>）；</w:t>
      </w:r>
    </w:p>
    <w:p>
      <w:pPr>
        <w:spacing w:line="360" w:lineRule="auto"/>
        <w:ind w:firstLine="560" w:firstLineChars="200"/>
        <w:rPr>
          <w:rFonts w:hint="eastAsia" w:cs="仿宋_GB2312"/>
          <w:color w:val="000000" w:themeColor="text1"/>
          <w:szCs w:val="22"/>
          <w14:textFill>
            <w14:solidFill>
              <w14:schemeClr w14:val="tx1"/>
            </w14:solidFill>
          </w14:textFill>
        </w:rPr>
      </w:pPr>
      <w:r>
        <w:rPr>
          <w:rFonts w:cs="仿宋_GB2312"/>
          <w:color w:val="000000" w:themeColor="text1"/>
          <w:szCs w:val="22"/>
          <w14:textFill>
            <w14:solidFill>
              <w14:schemeClr w14:val="tx1"/>
            </w14:solidFill>
          </w14:textFill>
        </w:rPr>
        <w:t>3</w:t>
      </w:r>
      <w:r>
        <w:rPr>
          <w:rFonts w:hint="eastAsia" w:cs="仿宋_GB2312"/>
          <w:color w:val="000000" w:themeColor="text1"/>
          <w:szCs w:val="22"/>
          <w14:textFill>
            <w14:solidFill>
              <w14:schemeClr w14:val="tx1"/>
            </w14:solidFill>
          </w14:textFill>
        </w:rPr>
        <w:t>、本溪市综合立体交通网规划；</w:t>
      </w:r>
    </w:p>
    <w:p>
      <w:pPr>
        <w:spacing w:line="360" w:lineRule="auto"/>
        <w:ind w:firstLine="560" w:firstLineChars="200"/>
        <w:rPr>
          <w:rFonts w:hint="eastAsia" w:cs="仿宋_GB2312"/>
          <w:color w:val="000000" w:themeColor="text1"/>
          <w:szCs w:val="22"/>
          <w14:textFill>
            <w14:solidFill>
              <w14:schemeClr w14:val="tx1"/>
            </w14:solidFill>
          </w14:textFill>
        </w:rPr>
      </w:pPr>
      <w:r>
        <w:rPr>
          <w:rFonts w:hint="eastAsia" w:cs="仿宋_GB2312"/>
          <w:color w:val="000000" w:themeColor="text1"/>
          <w:szCs w:val="22"/>
          <w14:textFill>
            <w14:solidFill>
              <w14:schemeClr w14:val="tx1"/>
            </w14:solidFill>
          </w14:textFill>
        </w:rPr>
        <w:t>4、《桓仁满族自治县国民经济和社会发展第十四个五年规划和二〇三五年远景目标纲要（草案）》</w:t>
      </w:r>
    </w:p>
    <w:p>
      <w:pPr>
        <w:spacing w:line="360" w:lineRule="auto"/>
        <w:ind w:firstLine="562" w:firstLineChars="200"/>
        <w:rPr>
          <w:rFonts w:ascii="仿宋_GB2312" w:hAnsi="仿宋_GB2312" w:cs="仿宋_GB2312"/>
          <w:b/>
          <w:bCs/>
          <w:color w:val="000000" w:themeColor="text1"/>
          <w14:textFill>
            <w14:solidFill>
              <w14:schemeClr w14:val="tx1"/>
            </w14:solidFill>
          </w14:textFill>
        </w:rPr>
      </w:pPr>
      <w:r>
        <w:rPr>
          <w:rFonts w:hint="eastAsia" w:ascii="仿宋_GB2312" w:hAnsi="仿宋_GB2312" w:cs="仿宋_GB2312"/>
          <w:b/>
          <w:bCs/>
          <w:color w:val="000000" w:themeColor="text1"/>
          <w14:textFill>
            <w14:solidFill>
              <w14:schemeClr w14:val="tx1"/>
            </w14:solidFill>
          </w14:textFill>
        </w:rPr>
        <w:t>（4）规范、导则和标准</w:t>
      </w:r>
    </w:p>
    <w:p>
      <w:pPr>
        <w:spacing w:line="360" w:lineRule="auto"/>
        <w:ind w:firstLine="560" w:firstLineChars="200"/>
        <w:rPr>
          <w:rFonts w:hint="eastAsia" w:cs="仿宋_GB2312"/>
          <w:color w:val="000000" w:themeColor="text1"/>
          <w:szCs w:val="22"/>
          <w14:textFill>
            <w14:solidFill>
              <w14:schemeClr w14:val="tx1"/>
            </w14:solidFill>
          </w14:textFill>
        </w:rPr>
      </w:pPr>
      <w:r>
        <w:rPr>
          <w:rFonts w:cs="仿宋_GB2312"/>
          <w:color w:val="000000" w:themeColor="text1"/>
          <w:szCs w:val="22"/>
          <w14:textFill>
            <w14:solidFill>
              <w14:schemeClr w14:val="tx1"/>
            </w14:solidFill>
          </w14:textFill>
        </w:rPr>
        <w:t>1</w:t>
      </w:r>
      <w:r>
        <w:rPr>
          <w:rFonts w:hint="eastAsia" w:cs="仿宋_GB2312"/>
          <w:color w:val="000000" w:themeColor="text1"/>
          <w:szCs w:val="22"/>
          <w14:textFill>
            <w14:solidFill>
              <w14:schemeClr w14:val="tx1"/>
            </w14:solidFill>
          </w14:textFill>
        </w:rPr>
        <w:t>、《电动汽车充电站设计规范》（</w:t>
      </w:r>
      <w:r>
        <w:rPr>
          <w:rFonts w:cs="仿宋_GB2312"/>
          <w:color w:val="000000" w:themeColor="text1"/>
          <w:szCs w:val="22"/>
          <w14:textFill>
            <w14:solidFill>
              <w14:schemeClr w14:val="tx1"/>
            </w14:solidFill>
          </w14:textFill>
        </w:rPr>
        <w:t>GB50966-2014</w:t>
      </w:r>
      <w:r>
        <w:rPr>
          <w:rFonts w:hint="eastAsia" w:cs="仿宋_GB2312"/>
          <w:color w:val="000000" w:themeColor="text1"/>
          <w:szCs w:val="22"/>
          <w14:textFill>
            <w14:solidFill>
              <w14:schemeClr w14:val="tx1"/>
            </w14:solidFill>
          </w14:textFill>
        </w:rPr>
        <w:t>）；</w:t>
      </w:r>
    </w:p>
    <w:p>
      <w:pPr>
        <w:spacing w:line="360" w:lineRule="auto"/>
        <w:ind w:firstLine="560" w:firstLineChars="200"/>
        <w:rPr>
          <w:rFonts w:hint="eastAsia" w:cs="仿宋_GB2312"/>
          <w:color w:val="000000" w:themeColor="text1"/>
          <w:szCs w:val="22"/>
          <w14:textFill>
            <w14:solidFill>
              <w14:schemeClr w14:val="tx1"/>
            </w14:solidFill>
          </w14:textFill>
        </w:rPr>
      </w:pPr>
      <w:r>
        <w:rPr>
          <w:rFonts w:cs="仿宋_GB2312"/>
          <w:color w:val="000000" w:themeColor="text1"/>
          <w:szCs w:val="22"/>
          <w14:textFill>
            <w14:solidFill>
              <w14:schemeClr w14:val="tx1"/>
            </w14:solidFill>
          </w14:textFill>
        </w:rPr>
        <w:t>2</w:t>
      </w:r>
      <w:r>
        <w:rPr>
          <w:rFonts w:hint="eastAsia" w:cs="仿宋_GB2312"/>
          <w:color w:val="000000" w:themeColor="text1"/>
          <w:szCs w:val="22"/>
          <w14:textFill>
            <w14:solidFill>
              <w14:schemeClr w14:val="tx1"/>
            </w14:solidFill>
          </w14:textFill>
        </w:rPr>
        <w:t>、《电动汽车充电站通用要求》（</w:t>
      </w:r>
      <w:r>
        <w:rPr>
          <w:rFonts w:cs="仿宋_GB2312"/>
          <w:color w:val="000000" w:themeColor="text1"/>
          <w:szCs w:val="22"/>
          <w14:textFill>
            <w14:solidFill>
              <w14:schemeClr w14:val="tx1"/>
            </w14:solidFill>
          </w14:textFill>
        </w:rPr>
        <w:t>GB/T29781-2013</w:t>
      </w:r>
      <w:r>
        <w:rPr>
          <w:rFonts w:hint="eastAsia" w:cs="仿宋_GB2312"/>
          <w:color w:val="000000" w:themeColor="text1"/>
          <w:szCs w:val="22"/>
          <w14:textFill>
            <w14:solidFill>
              <w14:schemeClr w14:val="tx1"/>
            </w14:solidFill>
          </w14:textFill>
        </w:rPr>
        <w:t>）；</w:t>
      </w:r>
    </w:p>
    <w:p>
      <w:pPr>
        <w:spacing w:line="360" w:lineRule="auto"/>
        <w:ind w:firstLine="560" w:firstLineChars="200"/>
        <w:rPr>
          <w:rFonts w:hint="eastAsia" w:cs="仿宋_GB2312"/>
          <w:color w:val="000000" w:themeColor="text1"/>
          <w:szCs w:val="22"/>
          <w14:textFill>
            <w14:solidFill>
              <w14:schemeClr w14:val="tx1"/>
            </w14:solidFill>
          </w14:textFill>
        </w:rPr>
      </w:pPr>
      <w:r>
        <w:rPr>
          <w:rFonts w:cs="仿宋_GB2312"/>
          <w:color w:val="000000" w:themeColor="text1"/>
          <w:szCs w:val="22"/>
          <w14:textFill>
            <w14:solidFill>
              <w14:schemeClr w14:val="tx1"/>
            </w14:solidFill>
          </w14:textFill>
        </w:rPr>
        <w:t>3</w:t>
      </w:r>
      <w:r>
        <w:rPr>
          <w:rFonts w:hint="eastAsia" w:cs="仿宋_GB2312"/>
          <w:color w:val="000000" w:themeColor="text1"/>
          <w:szCs w:val="22"/>
          <w14:textFill>
            <w14:solidFill>
              <w14:schemeClr w14:val="tx1"/>
            </w14:solidFill>
          </w14:textFill>
        </w:rPr>
        <w:t>、《电动汽车充电基础设施建设技术导则》（国家能源局，</w:t>
      </w:r>
      <w:r>
        <w:rPr>
          <w:rFonts w:cs="仿宋_GB2312"/>
          <w:color w:val="000000" w:themeColor="text1"/>
          <w:szCs w:val="22"/>
          <w14:textFill>
            <w14:solidFill>
              <w14:schemeClr w14:val="tx1"/>
            </w14:solidFill>
          </w14:textFill>
        </w:rPr>
        <w:t>NB/T 33009-2013</w:t>
      </w:r>
      <w:r>
        <w:rPr>
          <w:rFonts w:hint="eastAsia" w:cs="仿宋_GB2312"/>
          <w:color w:val="000000" w:themeColor="text1"/>
          <w:szCs w:val="22"/>
          <w14:textFill>
            <w14:solidFill>
              <w14:schemeClr w14:val="tx1"/>
            </w14:solidFill>
          </w14:textFill>
        </w:rPr>
        <w:t>）；</w:t>
      </w:r>
    </w:p>
    <w:p>
      <w:pPr>
        <w:spacing w:line="360" w:lineRule="auto"/>
        <w:ind w:firstLine="560" w:firstLineChars="200"/>
        <w:rPr>
          <w:rFonts w:hint="eastAsia" w:cs="仿宋_GB2312"/>
          <w:color w:val="000000" w:themeColor="text1"/>
          <w:szCs w:val="22"/>
          <w14:textFill>
            <w14:solidFill>
              <w14:schemeClr w14:val="tx1"/>
            </w14:solidFill>
          </w14:textFill>
        </w:rPr>
      </w:pPr>
      <w:r>
        <w:rPr>
          <w:rFonts w:cs="仿宋_GB2312"/>
          <w:color w:val="000000" w:themeColor="text1"/>
          <w:szCs w:val="22"/>
          <w14:textFill>
            <w14:solidFill>
              <w14:schemeClr w14:val="tx1"/>
            </w14:solidFill>
          </w14:textFill>
        </w:rPr>
        <w:t>4</w:t>
      </w:r>
      <w:r>
        <w:rPr>
          <w:rFonts w:hint="eastAsia" w:cs="仿宋_GB2312"/>
          <w:color w:val="000000" w:themeColor="text1"/>
          <w:szCs w:val="22"/>
          <w14:textFill>
            <w14:solidFill>
              <w14:schemeClr w14:val="tx1"/>
            </w14:solidFill>
          </w14:textFill>
        </w:rPr>
        <w:t>、《电动汽车充电基础设施运行管理规范》（国家能源局，</w:t>
      </w:r>
      <w:r>
        <w:rPr>
          <w:rFonts w:cs="仿宋_GB2312"/>
          <w:color w:val="000000" w:themeColor="text1"/>
          <w:szCs w:val="22"/>
          <w14:textFill>
            <w14:solidFill>
              <w14:schemeClr w14:val="tx1"/>
            </w14:solidFill>
          </w14:textFill>
        </w:rPr>
        <w:t>NB/T 33019-2015</w:t>
      </w:r>
      <w:r>
        <w:rPr>
          <w:rFonts w:hint="eastAsia" w:cs="仿宋_GB2312"/>
          <w:color w:val="000000" w:themeColor="text1"/>
          <w:szCs w:val="22"/>
          <w14:textFill>
            <w14:solidFill>
              <w14:schemeClr w14:val="tx1"/>
            </w14:solidFill>
          </w14:textFill>
        </w:rPr>
        <w:t>）；</w:t>
      </w:r>
    </w:p>
    <w:p>
      <w:pPr>
        <w:spacing w:line="360" w:lineRule="auto"/>
        <w:ind w:firstLine="560" w:firstLineChars="200"/>
        <w:rPr>
          <w:rFonts w:hint="eastAsia" w:cs="仿宋_GB2312"/>
          <w:color w:val="000000" w:themeColor="text1"/>
          <w:szCs w:val="22"/>
          <w14:textFill>
            <w14:solidFill>
              <w14:schemeClr w14:val="tx1"/>
            </w14:solidFill>
          </w14:textFill>
        </w:rPr>
      </w:pPr>
      <w:r>
        <w:rPr>
          <w:rFonts w:cs="仿宋_GB2312"/>
          <w:color w:val="000000" w:themeColor="text1"/>
          <w:szCs w:val="22"/>
          <w14:textFill>
            <w14:solidFill>
              <w14:schemeClr w14:val="tx1"/>
            </w14:solidFill>
          </w14:textFill>
        </w:rPr>
        <w:t>5</w:t>
      </w:r>
      <w:r>
        <w:rPr>
          <w:rFonts w:hint="eastAsia" w:cs="仿宋_GB2312"/>
          <w:color w:val="000000" w:themeColor="text1"/>
          <w:szCs w:val="22"/>
          <w14:textFill>
            <w14:solidFill>
              <w14:schemeClr w14:val="tx1"/>
            </w14:solidFill>
          </w14:textFill>
        </w:rPr>
        <w:t>、《电动汽车交流充电桩技术条件》（</w:t>
      </w:r>
      <w:r>
        <w:rPr>
          <w:rFonts w:cs="仿宋_GB2312"/>
          <w:color w:val="000000" w:themeColor="text1"/>
          <w:szCs w:val="22"/>
          <w14:textFill>
            <w14:solidFill>
              <w14:schemeClr w14:val="tx1"/>
            </w14:solidFill>
          </w14:textFill>
        </w:rPr>
        <w:t>NB/T 33002-2010</w:t>
      </w:r>
      <w:r>
        <w:rPr>
          <w:rFonts w:hint="eastAsia" w:cs="仿宋_GB2312"/>
          <w:color w:val="000000" w:themeColor="text1"/>
          <w:szCs w:val="22"/>
          <w14:textFill>
            <w14:solidFill>
              <w14:schemeClr w14:val="tx1"/>
            </w14:solidFill>
          </w14:textFill>
        </w:rPr>
        <w:t>）；</w:t>
      </w:r>
    </w:p>
    <w:p>
      <w:pPr>
        <w:spacing w:line="360" w:lineRule="auto"/>
        <w:ind w:firstLine="560" w:firstLineChars="200"/>
        <w:rPr>
          <w:rFonts w:hint="eastAsia" w:cs="仿宋_GB2312"/>
          <w:color w:val="000000" w:themeColor="text1"/>
          <w:szCs w:val="22"/>
          <w14:textFill>
            <w14:solidFill>
              <w14:schemeClr w14:val="tx1"/>
            </w14:solidFill>
          </w14:textFill>
        </w:rPr>
      </w:pPr>
      <w:r>
        <w:rPr>
          <w:rFonts w:cs="仿宋_GB2312"/>
          <w:color w:val="000000" w:themeColor="text1"/>
          <w:szCs w:val="22"/>
          <w14:textFill>
            <w14:solidFill>
              <w14:schemeClr w14:val="tx1"/>
            </w14:solidFill>
          </w14:textFill>
        </w:rPr>
        <w:t>6</w:t>
      </w:r>
      <w:r>
        <w:rPr>
          <w:rFonts w:hint="eastAsia" w:cs="仿宋_GB2312"/>
          <w:color w:val="000000" w:themeColor="text1"/>
          <w:szCs w:val="22"/>
          <w14:textFill>
            <w14:solidFill>
              <w14:schemeClr w14:val="tx1"/>
            </w14:solidFill>
          </w14:textFill>
        </w:rPr>
        <w:t>、《电动汽车智能充电服务网络运营监控系统技术规范》（</w:t>
      </w:r>
      <w:r>
        <w:rPr>
          <w:rFonts w:cs="仿宋_GB2312"/>
          <w:color w:val="000000" w:themeColor="text1"/>
          <w:szCs w:val="22"/>
          <w14:textFill>
            <w14:solidFill>
              <w14:schemeClr w14:val="tx1"/>
            </w14:solidFill>
          </w14:textFill>
        </w:rPr>
        <w:t>NB/T 33017-2015</w:t>
      </w:r>
      <w:r>
        <w:rPr>
          <w:rFonts w:hint="eastAsia" w:cs="仿宋_GB2312"/>
          <w:color w:val="000000" w:themeColor="text1"/>
          <w:szCs w:val="22"/>
          <w14:textFill>
            <w14:solidFill>
              <w14:schemeClr w14:val="tx1"/>
            </w14:solidFill>
          </w14:textFill>
        </w:rPr>
        <w:t>）</w:t>
      </w:r>
    </w:p>
    <w:p>
      <w:pPr>
        <w:spacing w:line="360" w:lineRule="auto"/>
        <w:rPr>
          <w:rFonts w:hint="eastAsia"/>
          <w:color w:val="000000" w:themeColor="text1"/>
          <w14:textFill>
            <w14:solidFill>
              <w14:schemeClr w14:val="tx1"/>
            </w14:solidFill>
          </w14:textFill>
        </w:rPr>
      </w:pPr>
      <w:r>
        <w:rPr>
          <w:color w:val="000000" w:themeColor="text1"/>
          <w14:textFill>
            <w14:solidFill>
              <w14:schemeClr w14:val="tx1"/>
            </w14:solidFill>
          </w14:textFill>
        </w:rPr>
        <w:br w:type="page"/>
      </w:r>
    </w:p>
    <w:p>
      <w:pPr>
        <w:pStyle w:val="2"/>
      </w:pPr>
      <w:bookmarkStart w:id="33" w:name="_Toc22554"/>
      <w:r>
        <w:rPr>
          <w:b w:val="0"/>
          <w:color w:val="000000" w:themeColor="text1"/>
          <w14:textFill>
            <w14:solidFill>
              <w14:schemeClr w14:val="tx1"/>
            </w14:solidFill>
          </w14:textFill>
        </w:rPr>
        <w:t>社会经济发展</w:t>
      </w:r>
      <w:r>
        <w:rPr>
          <w:rFonts w:hint="eastAsia"/>
          <w:b w:val="0"/>
          <w:color w:val="000000" w:themeColor="text1"/>
          <w14:textFill>
            <w14:solidFill>
              <w14:schemeClr w14:val="tx1"/>
            </w14:solidFill>
          </w14:textFill>
        </w:rPr>
        <w:t>及规划</w:t>
      </w:r>
      <w:r>
        <w:rPr>
          <w:b w:val="0"/>
          <w:color w:val="000000" w:themeColor="text1"/>
          <w14:textFill>
            <w14:solidFill>
              <w14:schemeClr w14:val="tx1"/>
            </w14:solidFill>
          </w14:textFill>
        </w:rPr>
        <w:t>概况</w:t>
      </w:r>
      <w:bookmarkEnd w:id="9"/>
      <w:bookmarkEnd w:id="33"/>
    </w:p>
    <w:p>
      <w:pPr>
        <w:pStyle w:val="3"/>
      </w:pPr>
      <w:bookmarkStart w:id="34" w:name="_Toc94186574"/>
      <w:bookmarkStart w:id="35" w:name="_Toc15144"/>
      <w:bookmarkStart w:id="36" w:name="_Hlk149226865"/>
      <w:r>
        <w:rPr>
          <w:rFonts w:hint="eastAsia"/>
          <w:color w:val="000000" w:themeColor="text1"/>
          <w14:textFill>
            <w14:solidFill>
              <w14:schemeClr w14:val="tx1"/>
            </w14:solidFill>
          </w14:textFill>
        </w:rPr>
        <w:t>社会</w:t>
      </w:r>
      <w:r>
        <w:rPr>
          <w:color w:val="000000" w:themeColor="text1"/>
          <w14:textFill>
            <w14:solidFill>
              <w14:schemeClr w14:val="tx1"/>
            </w14:solidFill>
          </w14:textFill>
        </w:rPr>
        <w:t>经济发展概况</w:t>
      </w:r>
      <w:bookmarkEnd w:id="34"/>
      <w:bookmarkEnd w:id="35"/>
    </w:p>
    <w:p>
      <w:pPr>
        <w:spacing w:line="360" w:lineRule="auto"/>
        <w:ind w:firstLine="560" w:firstLineChars="200"/>
        <w:jc w:val="left"/>
        <w:rPr>
          <w:rFonts w:hint="eastAsia"/>
        </w:rPr>
      </w:pPr>
      <w:r>
        <w:rPr>
          <w:rFonts w:hint="eastAsia" w:cs="仿宋_GB2312"/>
          <w:szCs w:val="22"/>
        </w:rPr>
        <w:t>桓仁满族自治县地处辽宁东部山区，隶属于本溪市。东与吉林省集安市相接，南与丹东市宽甸县相连，西与桓仁满族自治县和抚顺市新宾县相依，北与吉林省通化市毗连，地理坐标为东经124°27′—125°40′，北纬40°54′—41°32′，</w:t>
      </w:r>
      <w:r>
        <w:rPr>
          <w:rFonts w:hint="eastAsia" w:cs="仿宋_GB2312"/>
          <w:color w:val="000000" w:themeColor="text1"/>
          <w:szCs w:val="22"/>
          <w14:textFill>
            <w14:solidFill>
              <w14:schemeClr w14:val="tx1"/>
            </w14:solidFill>
          </w14:textFill>
        </w:rPr>
        <w:t>是辽宁省东部重要交通枢纽。</w:t>
      </w:r>
      <w:r>
        <w:drawing>
          <wp:inline distT="0" distB="0" distL="0" distR="0">
            <wp:extent cx="5400675" cy="4117975"/>
            <wp:effectExtent l="0" t="0" r="9525" b="0"/>
            <wp:docPr id="6817182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718229" name="图片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400675" cy="4117975"/>
                    </a:xfrm>
                    <a:prstGeom prst="rect">
                      <a:avLst/>
                    </a:prstGeom>
                    <a:noFill/>
                    <a:ln>
                      <a:noFill/>
                    </a:ln>
                  </pic:spPr>
                </pic:pic>
              </a:graphicData>
            </a:graphic>
          </wp:inline>
        </w:drawing>
      </w:r>
    </w:p>
    <w:p>
      <w:pPr>
        <w:pStyle w:val="8"/>
      </w:pPr>
      <w:r>
        <w:rPr>
          <w:rFonts w:hint="eastAsia"/>
        </w:rPr>
        <w:t>桓仁满族自治县内重要道路线路图</w:t>
      </w:r>
    </w:p>
    <w:p>
      <w:pPr>
        <w:spacing w:line="360" w:lineRule="auto"/>
        <w:ind w:firstLine="560" w:firstLineChars="200"/>
        <w:rPr>
          <w:rFonts w:hint="eastAsia" w:cs="仿宋_GB2312"/>
          <w:color w:val="000000" w:themeColor="text1"/>
          <w:szCs w:val="22"/>
          <w14:textFill>
            <w14:solidFill>
              <w14:schemeClr w14:val="tx1"/>
            </w14:solidFill>
          </w14:textFill>
        </w:rPr>
      </w:pPr>
      <w:r>
        <w:rPr>
          <w:rFonts w:hint="eastAsia"/>
        </w:rPr>
        <w:t>桓仁满族自治县交通便捷，</w:t>
      </w:r>
      <w:r>
        <w:rPr>
          <w:rFonts w:hint="eastAsia" w:cs="仿宋_GB2312"/>
          <w:color w:val="000000" w:themeColor="text1"/>
          <w:szCs w:val="22"/>
          <w14:textFill>
            <w14:solidFill>
              <w14:schemeClr w14:val="tx1"/>
            </w14:solidFill>
          </w14:textFill>
        </w:rPr>
        <w:t>境内有鹤大高速公路、沈桓高速公路、东北东部铁路、田桓铁路贯穿境内。距沈阳市189公里，大连市460公里，丹东市174公里，本溪市192公里，全县共有等级公路1835公里，其中国家级公路233公里，省级公路155公里，县级公路168公里，乡级公路501公里。</w:t>
      </w:r>
    </w:p>
    <w:p>
      <w:pPr>
        <w:spacing w:line="360" w:lineRule="auto"/>
        <w:ind w:firstLine="560" w:firstLineChars="200"/>
        <w:rPr>
          <w:rFonts w:hint="eastAsia"/>
        </w:rPr>
      </w:pPr>
      <w:r>
        <w:rPr>
          <w:rFonts w:hint="eastAsia"/>
        </w:rPr>
        <w:t>桓仁满族自治县幅员</w:t>
      </w:r>
      <w:r>
        <w:t>总面积3553平方公里</w:t>
      </w:r>
      <w:r>
        <w:rPr>
          <w:rFonts w:hint="eastAsia"/>
        </w:rPr>
        <w:t>，属于中温带大陆湿润季风气候。现辖</w:t>
      </w:r>
      <w:r>
        <w:t>1</w:t>
      </w:r>
      <w:r>
        <w:rPr>
          <w:rFonts w:hint="eastAsia"/>
        </w:rPr>
        <w:t>个街道、8个镇、4个乡（八卦城、桓仁镇、普乐堡镇、二棚甸子镇、沙尖子镇、五里甸子镇、八里甸子镇、华来镇、古城镇、雅河朝鲜族乡、向阳乡、黑沟乡、北甸子乡）。</w:t>
      </w:r>
    </w:p>
    <w:p>
      <w:pPr>
        <w:spacing w:line="360" w:lineRule="auto"/>
        <w:ind w:firstLine="560" w:firstLineChars="200"/>
        <w:rPr>
          <w:rFonts w:hint="eastAsia" w:cs="仿宋_GB2312"/>
          <w:color w:val="000000" w:themeColor="text1"/>
          <w:szCs w:val="22"/>
          <w14:textFill>
            <w14:solidFill>
              <w14:schemeClr w14:val="tx1"/>
            </w14:solidFill>
          </w14:textFill>
        </w:rPr>
      </w:pPr>
      <w:r>
        <w:rPr>
          <w:rFonts w:hint="eastAsia" w:cs="仿宋_GB2312"/>
          <w:color w:val="000000" w:themeColor="text1"/>
          <w:szCs w:val="22"/>
          <w14:textFill>
            <w14:solidFill>
              <w14:schemeClr w14:val="tx1"/>
            </w14:solidFill>
          </w14:textFill>
        </w:rPr>
        <w:t>2023年，本溪市桓仁满族自治县内生产总值（GDP）达到</w:t>
      </w:r>
      <w:r>
        <w:rPr>
          <w:rFonts w:cs="仿宋_GB2312"/>
          <w:color w:val="000000" w:themeColor="text1"/>
          <w:szCs w:val="22"/>
          <w14:textFill>
            <w14:solidFill>
              <w14:schemeClr w14:val="tx1"/>
            </w14:solidFill>
          </w14:textFill>
        </w:rPr>
        <w:t>114.6</w:t>
      </w:r>
      <w:r>
        <w:rPr>
          <w:rFonts w:hint="eastAsia" w:cs="仿宋_GB2312"/>
          <w:color w:val="000000" w:themeColor="text1"/>
          <w:szCs w:val="22"/>
          <w14:textFill>
            <w14:solidFill>
              <w14:schemeClr w14:val="tx1"/>
            </w14:solidFill>
          </w14:textFill>
        </w:rPr>
        <w:t>亿元，总人口达到</w:t>
      </w:r>
      <w:r>
        <w:rPr>
          <w:rFonts w:cs="仿宋_GB2312"/>
          <w:color w:val="000000" w:themeColor="text1"/>
          <w:szCs w:val="22"/>
          <w14:textFill>
            <w14:solidFill>
              <w14:schemeClr w14:val="tx1"/>
            </w14:solidFill>
          </w14:textFill>
        </w:rPr>
        <w:t>28</w:t>
      </w:r>
      <w:r>
        <w:rPr>
          <w:rFonts w:hint="eastAsia" w:cs="仿宋_GB2312"/>
          <w:color w:val="000000" w:themeColor="text1"/>
          <w:szCs w:val="22"/>
          <w14:textFill>
            <w14:solidFill>
              <w14:schemeClr w14:val="tx1"/>
            </w14:solidFill>
          </w14:textFill>
        </w:rPr>
        <w:t>万人，人均GDP达到</w:t>
      </w:r>
      <w:r>
        <w:rPr>
          <w:rFonts w:cs="仿宋_GB2312"/>
          <w:color w:val="000000" w:themeColor="text1"/>
          <w:szCs w:val="22"/>
          <w14:textFill>
            <w14:solidFill>
              <w14:schemeClr w14:val="tx1"/>
            </w14:solidFill>
          </w14:textFill>
        </w:rPr>
        <w:t>4.</w:t>
      </w:r>
      <w:r>
        <w:rPr>
          <w:rFonts w:hint="eastAsia" w:cs="仿宋_GB2312"/>
          <w:color w:val="000000" w:themeColor="text1"/>
          <w:szCs w:val="22"/>
          <w14:textFill>
            <w14:solidFill>
              <w14:schemeClr w14:val="tx1"/>
            </w14:solidFill>
          </w14:textFill>
        </w:rPr>
        <w:t>38万元/人。</w:t>
      </w:r>
    </w:p>
    <w:p>
      <w:pPr>
        <w:pStyle w:val="7"/>
        <w:rPr>
          <w:rStyle w:val="44"/>
          <w:rFonts w:ascii="仿宋_GB2312" w:hAnsi="仿宋_GB2312" w:eastAsia="仿宋_GB2312" w:cs="仿宋_GB2312"/>
          <w:color w:val="000000" w:themeColor="text1"/>
          <w:sz w:val="21"/>
          <w:szCs w:val="21"/>
          <w14:textFill>
            <w14:solidFill>
              <w14:schemeClr w14:val="tx1"/>
            </w14:solidFill>
          </w14:textFill>
        </w:rPr>
      </w:pPr>
      <w:r>
        <w:t>桓仁满族自治县经济社会历史发展情况</w:t>
      </w: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1661"/>
        <w:gridCol w:w="1811"/>
        <w:gridCol w:w="1530"/>
        <w:gridCol w:w="1665"/>
        <w:gridCol w:w="166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997" w:type="pct"/>
            <w:shd w:val="clear" w:color="auto" w:fill="D9D9D9"/>
            <w:tcMar>
              <w:top w:w="12" w:type="dxa"/>
              <w:left w:w="12" w:type="dxa"/>
              <w:bottom w:w="0" w:type="dxa"/>
              <w:right w:w="12" w:type="dxa"/>
            </w:tcMar>
            <w:vAlign w:val="center"/>
          </w:tcPr>
          <w:p>
            <w:pPr>
              <w:spacing w:line="240" w:lineRule="auto"/>
              <w:jc w:val="center"/>
              <w:rPr>
                <w:rFonts w:hint="eastAsia"/>
                <w:b/>
                <w:sz w:val="19"/>
              </w:rPr>
            </w:pPr>
            <w:r>
              <w:rPr>
                <w:rFonts w:hint="eastAsia"/>
                <w:b/>
                <w:sz w:val="19"/>
              </w:rPr>
              <w:t>年份</w:t>
            </w:r>
          </w:p>
        </w:tc>
        <w:tc>
          <w:tcPr>
            <w:tcW w:w="1087" w:type="pct"/>
            <w:shd w:val="clear" w:color="auto" w:fill="D9D9D9"/>
            <w:tcMar>
              <w:top w:w="12" w:type="dxa"/>
              <w:left w:w="12" w:type="dxa"/>
              <w:bottom w:w="0" w:type="dxa"/>
              <w:right w:w="12" w:type="dxa"/>
            </w:tcMar>
            <w:vAlign w:val="center"/>
          </w:tcPr>
          <w:p>
            <w:pPr>
              <w:spacing w:line="240" w:lineRule="auto"/>
              <w:jc w:val="center"/>
              <w:rPr>
                <w:rFonts w:hint="eastAsia"/>
                <w:b/>
                <w:sz w:val="19"/>
              </w:rPr>
            </w:pPr>
            <w:r>
              <w:rPr>
                <w:rFonts w:hint="eastAsia"/>
                <w:b/>
                <w:sz w:val="19"/>
              </w:rPr>
              <w:t>土地面积</w:t>
            </w:r>
          </w:p>
          <w:p>
            <w:pPr>
              <w:spacing w:line="240" w:lineRule="auto"/>
              <w:jc w:val="center"/>
              <w:rPr>
                <w:rFonts w:hint="eastAsia"/>
                <w:b/>
                <w:sz w:val="19"/>
              </w:rPr>
            </w:pPr>
            <w:r>
              <w:rPr>
                <w:rFonts w:hint="eastAsia"/>
                <w:b/>
                <w:sz w:val="19"/>
              </w:rPr>
              <w:t>（km</w:t>
            </w:r>
            <w:r>
              <w:rPr>
                <w:rFonts w:hint="eastAsia"/>
                <w:b/>
                <w:sz w:val="19"/>
                <w:vertAlign w:val="superscript"/>
              </w:rPr>
              <w:t>2</w:t>
            </w:r>
            <w:r>
              <w:rPr>
                <w:rFonts w:hint="eastAsia"/>
                <w:b/>
                <w:sz w:val="19"/>
              </w:rPr>
              <w:t>）</w:t>
            </w:r>
          </w:p>
        </w:tc>
        <w:tc>
          <w:tcPr>
            <w:tcW w:w="918" w:type="pct"/>
            <w:shd w:val="clear" w:color="auto" w:fill="D9D9D9"/>
            <w:tcMar>
              <w:top w:w="12" w:type="dxa"/>
              <w:left w:w="12" w:type="dxa"/>
              <w:bottom w:w="0" w:type="dxa"/>
              <w:right w:w="12" w:type="dxa"/>
            </w:tcMar>
            <w:vAlign w:val="center"/>
          </w:tcPr>
          <w:p>
            <w:pPr>
              <w:spacing w:line="240" w:lineRule="auto"/>
              <w:jc w:val="center"/>
              <w:rPr>
                <w:rFonts w:hint="eastAsia"/>
                <w:b/>
                <w:sz w:val="19"/>
              </w:rPr>
            </w:pPr>
            <w:r>
              <w:rPr>
                <w:rFonts w:hint="eastAsia"/>
                <w:b/>
                <w:sz w:val="19"/>
              </w:rPr>
              <w:t>GDP</w:t>
            </w:r>
          </w:p>
          <w:p>
            <w:pPr>
              <w:spacing w:line="240" w:lineRule="auto"/>
              <w:jc w:val="center"/>
              <w:rPr>
                <w:rFonts w:hint="eastAsia"/>
                <w:b/>
                <w:sz w:val="19"/>
              </w:rPr>
            </w:pPr>
            <w:r>
              <w:rPr>
                <w:rFonts w:hint="eastAsia"/>
                <w:b/>
                <w:sz w:val="19"/>
              </w:rPr>
              <w:t>（亿元）</w:t>
            </w:r>
          </w:p>
        </w:tc>
        <w:tc>
          <w:tcPr>
            <w:tcW w:w="999" w:type="pct"/>
            <w:shd w:val="clear" w:color="auto" w:fill="D9D9D9"/>
            <w:tcMar>
              <w:top w:w="12" w:type="dxa"/>
              <w:left w:w="12" w:type="dxa"/>
              <w:bottom w:w="0" w:type="dxa"/>
              <w:right w:w="12" w:type="dxa"/>
            </w:tcMar>
            <w:vAlign w:val="center"/>
          </w:tcPr>
          <w:p>
            <w:pPr>
              <w:spacing w:line="240" w:lineRule="auto"/>
              <w:jc w:val="center"/>
              <w:rPr>
                <w:rFonts w:hint="eastAsia"/>
                <w:b/>
                <w:sz w:val="19"/>
              </w:rPr>
            </w:pPr>
            <w:r>
              <w:rPr>
                <w:rFonts w:hint="eastAsia"/>
                <w:b/>
                <w:sz w:val="19"/>
              </w:rPr>
              <w:t>总人口</w:t>
            </w:r>
          </w:p>
          <w:p>
            <w:pPr>
              <w:spacing w:line="240" w:lineRule="auto"/>
              <w:jc w:val="center"/>
              <w:rPr>
                <w:rFonts w:hint="eastAsia"/>
                <w:b/>
                <w:sz w:val="19"/>
              </w:rPr>
            </w:pPr>
            <w:r>
              <w:rPr>
                <w:rFonts w:hint="eastAsia"/>
                <w:b/>
                <w:sz w:val="19"/>
              </w:rPr>
              <w:t>（万人）</w:t>
            </w:r>
          </w:p>
        </w:tc>
        <w:tc>
          <w:tcPr>
            <w:tcW w:w="998" w:type="pct"/>
            <w:shd w:val="clear" w:color="auto" w:fill="D9D9D9"/>
            <w:tcMar>
              <w:top w:w="12" w:type="dxa"/>
              <w:left w:w="12" w:type="dxa"/>
              <w:bottom w:w="0" w:type="dxa"/>
              <w:right w:w="12" w:type="dxa"/>
            </w:tcMar>
            <w:vAlign w:val="center"/>
          </w:tcPr>
          <w:p>
            <w:pPr>
              <w:spacing w:line="240" w:lineRule="auto"/>
              <w:jc w:val="center"/>
              <w:rPr>
                <w:rFonts w:hint="eastAsia"/>
                <w:b/>
                <w:sz w:val="19"/>
              </w:rPr>
            </w:pPr>
            <w:r>
              <w:rPr>
                <w:rFonts w:hint="eastAsia"/>
                <w:b/>
                <w:sz w:val="19"/>
              </w:rPr>
              <w:t>人均GDP</w:t>
            </w:r>
          </w:p>
          <w:p>
            <w:pPr>
              <w:spacing w:line="240" w:lineRule="auto"/>
              <w:jc w:val="center"/>
              <w:rPr>
                <w:rFonts w:hint="eastAsia"/>
                <w:b/>
                <w:sz w:val="19"/>
              </w:rPr>
            </w:pPr>
            <w:r>
              <w:rPr>
                <w:rFonts w:hint="eastAsia"/>
                <w:b/>
                <w:sz w:val="19"/>
              </w:rPr>
              <w:t>（万元/人）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997"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2</w:t>
            </w:r>
            <w:r>
              <w:rPr>
                <w:sz w:val="19"/>
              </w:rPr>
              <w:t>018</w:t>
            </w:r>
          </w:p>
        </w:tc>
        <w:tc>
          <w:tcPr>
            <w:tcW w:w="1087" w:type="pct"/>
            <w:shd w:val="clear" w:color="auto" w:fill="auto"/>
            <w:tcMar>
              <w:top w:w="12" w:type="dxa"/>
              <w:left w:w="12" w:type="dxa"/>
              <w:bottom w:w="0" w:type="dxa"/>
              <w:right w:w="12" w:type="dxa"/>
            </w:tcMar>
            <w:vAlign w:val="center"/>
          </w:tcPr>
          <w:p>
            <w:pPr>
              <w:spacing w:line="240" w:lineRule="auto"/>
              <w:jc w:val="center"/>
              <w:rPr>
                <w:rFonts w:hint="eastAsia"/>
                <w:sz w:val="19"/>
              </w:rPr>
            </w:pPr>
            <w:r>
              <w:rPr>
                <w:sz w:val="19"/>
              </w:rPr>
              <w:t>3553</w:t>
            </w:r>
          </w:p>
        </w:tc>
        <w:tc>
          <w:tcPr>
            <w:tcW w:w="918"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106.6</w:t>
            </w:r>
          </w:p>
        </w:tc>
        <w:tc>
          <w:tcPr>
            <w:tcW w:w="999"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28.97</w:t>
            </w:r>
          </w:p>
        </w:tc>
        <w:tc>
          <w:tcPr>
            <w:tcW w:w="998"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3</w:t>
            </w:r>
            <w:r>
              <w:rPr>
                <w:sz w:val="19"/>
              </w:rPr>
              <w:t>.68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997" w:type="pct"/>
            <w:shd w:val="clear" w:color="auto" w:fill="auto"/>
            <w:tcMar>
              <w:top w:w="12" w:type="dxa"/>
              <w:left w:w="12" w:type="dxa"/>
              <w:bottom w:w="0" w:type="dxa"/>
              <w:right w:w="12" w:type="dxa"/>
            </w:tcMar>
            <w:vAlign w:val="center"/>
          </w:tcPr>
          <w:p>
            <w:pPr>
              <w:spacing w:line="240" w:lineRule="auto"/>
              <w:jc w:val="center"/>
              <w:rPr>
                <w:rFonts w:hint="eastAsia"/>
                <w:sz w:val="19"/>
              </w:rPr>
            </w:pPr>
            <w:r>
              <w:rPr>
                <w:sz w:val="19"/>
              </w:rPr>
              <w:t>2019</w:t>
            </w:r>
          </w:p>
        </w:tc>
        <w:tc>
          <w:tcPr>
            <w:tcW w:w="1087" w:type="pct"/>
            <w:shd w:val="clear" w:color="auto" w:fill="auto"/>
            <w:tcMar>
              <w:top w:w="12" w:type="dxa"/>
              <w:left w:w="12" w:type="dxa"/>
              <w:bottom w:w="0" w:type="dxa"/>
              <w:right w:w="12" w:type="dxa"/>
            </w:tcMar>
            <w:vAlign w:val="center"/>
          </w:tcPr>
          <w:p>
            <w:pPr>
              <w:spacing w:line="240" w:lineRule="auto"/>
              <w:jc w:val="center"/>
              <w:rPr>
                <w:rFonts w:hint="eastAsia"/>
                <w:sz w:val="19"/>
              </w:rPr>
            </w:pPr>
            <w:r>
              <w:rPr>
                <w:sz w:val="19"/>
              </w:rPr>
              <w:t>3553</w:t>
            </w:r>
          </w:p>
        </w:tc>
        <w:tc>
          <w:tcPr>
            <w:tcW w:w="918"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99.9</w:t>
            </w:r>
          </w:p>
        </w:tc>
        <w:tc>
          <w:tcPr>
            <w:tcW w:w="999"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28.74</w:t>
            </w:r>
          </w:p>
        </w:tc>
        <w:tc>
          <w:tcPr>
            <w:tcW w:w="998"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3</w:t>
            </w:r>
            <w:r>
              <w:rPr>
                <w:sz w:val="19"/>
              </w:rPr>
              <w:t>.48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997" w:type="pct"/>
            <w:shd w:val="clear" w:color="auto" w:fill="auto"/>
            <w:tcMar>
              <w:top w:w="12" w:type="dxa"/>
              <w:left w:w="12" w:type="dxa"/>
              <w:bottom w:w="0" w:type="dxa"/>
              <w:right w:w="12" w:type="dxa"/>
            </w:tcMar>
            <w:vAlign w:val="center"/>
          </w:tcPr>
          <w:p>
            <w:pPr>
              <w:spacing w:line="240" w:lineRule="auto"/>
              <w:jc w:val="center"/>
              <w:rPr>
                <w:rFonts w:hint="eastAsia"/>
                <w:sz w:val="19"/>
              </w:rPr>
            </w:pPr>
            <w:r>
              <w:rPr>
                <w:sz w:val="19"/>
              </w:rPr>
              <w:t>2020</w:t>
            </w:r>
          </w:p>
        </w:tc>
        <w:tc>
          <w:tcPr>
            <w:tcW w:w="1087" w:type="pct"/>
            <w:shd w:val="clear" w:color="auto" w:fill="auto"/>
            <w:tcMar>
              <w:top w:w="12" w:type="dxa"/>
              <w:left w:w="12" w:type="dxa"/>
              <w:bottom w:w="0" w:type="dxa"/>
              <w:right w:w="12" w:type="dxa"/>
            </w:tcMar>
            <w:vAlign w:val="center"/>
          </w:tcPr>
          <w:p>
            <w:pPr>
              <w:spacing w:line="240" w:lineRule="auto"/>
              <w:jc w:val="center"/>
              <w:rPr>
                <w:rFonts w:hint="eastAsia"/>
                <w:sz w:val="19"/>
              </w:rPr>
            </w:pPr>
            <w:r>
              <w:rPr>
                <w:sz w:val="19"/>
              </w:rPr>
              <w:t>3553</w:t>
            </w:r>
          </w:p>
        </w:tc>
        <w:tc>
          <w:tcPr>
            <w:tcW w:w="918"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102.24</w:t>
            </w:r>
          </w:p>
        </w:tc>
        <w:tc>
          <w:tcPr>
            <w:tcW w:w="999"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28.43</w:t>
            </w:r>
          </w:p>
        </w:tc>
        <w:tc>
          <w:tcPr>
            <w:tcW w:w="998"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3</w:t>
            </w:r>
            <w:r>
              <w:rPr>
                <w:sz w:val="19"/>
              </w:rPr>
              <w:t>.60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997" w:type="pct"/>
            <w:shd w:val="clear" w:color="auto" w:fill="auto"/>
            <w:tcMar>
              <w:top w:w="12" w:type="dxa"/>
              <w:left w:w="12" w:type="dxa"/>
              <w:bottom w:w="0" w:type="dxa"/>
              <w:right w:w="12" w:type="dxa"/>
            </w:tcMar>
            <w:vAlign w:val="center"/>
          </w:tcPr>
          <w:p>
            <w:pPr>
              <w:spacing w:line="240" w:lineRule="auto"/>
              <w:jc w:val="center"/>
              <w:rPr>
                <w:rFonts w:hint="eastAsia"/>
                <w:sz w:val="19"/>
              </w:rPr>
            </w:pPr>
            <w:r>
              <w:rPr>
                <w:sz w:val="19"/>
              </w:rPr>
              <w:t>2021</w:t>
            </w:r>
          </w:p>
        </w:tc>
        <w:tc>
          <w:tcPr>
            <w:tcW w:w="1087" w:type="pct"/>
            <w:shd w:val="clear" w:color="auto" w:fill="auto"/>
            <w:tcMar>
              <w:top w:w="12" w:type="dxa"/>
              <w:left w:w="12" w:type="dxa"/>
              <w:bottom w:w="0" w:type="dxa"/>
              <w:right w:w="12" w:type="dxa"/>
            </w:tcMar>
            <w:vAlign w:val="center"/>
          </w:tcPr>
          <w:p>
            <w:pPr>
              <w:spacing w:line="240" w:lineRule="auto"/>
              <w:jc w:val="center"/>
              <w:rPr>
                <w:rFonts w:hint="eastAsia"/>
                <w:sz w:val="19"/>
              </w:rPr>
            </w:pPr>
            <w:r>
              <w:rPr>
                <w:sz w:val="19"/>
              </w:rPr>
              <w:t>3553</w:t>
            </w:r>
          </w:p>
        </w:tc>
        <w:tc>
          <w:tcPr>
            <w:tcW w:w="918"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111.7</w:t>
            </w:r>
          </w:p>
        </w:tc>
        <w:tc>
          <w:tcPr>
            <w:tcW w:w="999"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28.27</w:t>
            </w:r>
          </w:p>
        </w:tc>
        <w:tc>
          <w:tcPr>
            <w:tcW w:w="998"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3</w:t>
            </w:r>
            <w:r>
              <w:rPr>
                <w:sz w:val="19"/>
              </w:rPr>
              <w:t>.95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997" w:type="pct"/>
            <w:shd w:val="clear" w:color="auto" w:fill="auto"/>
            <w:tcMar>
              <w:top w:w="12" w:type="dxa"/>
              <w:left w:w="12" w:type="dxa"/>
              <w:bottom w:w="0" w:type="dxa"/>
              <w:right w:w="12" w:type="dxa"/>
            </w:tcMar>
            <w:vAlign w:val="center"/>
          </w:tcPr>
          <w:p>
            <w:pPr>
              <w:spacing w:line="240" w:lineRule="auto"/>
              <w:jc w:val="center"/>
              <w:rPr>
                <w:rFonts w:hint="eastAsia"/>
                <w:sz w:val="19"/>
              </w:rPr>
            </w:pPr>
            <w:r>
              <w:rPr>
                <w:sz w:val="19"/>
              </w:rPr>
              <w:t>2022</w:t>
            </w:r>
          </w:p>
        </w:tc>
        <w:tc>
          <w:tcPr>
            <w:tcW w:w="1087" w:type="pct"/>
            <w:shd w:val="clear" w:color="auto" w:fill="auto"/>
            <w:tcMar>
              <w:top w:w="12" w:type="dxa"/>
              <w:left w:w="12" w:type="dxa"/>
              <w:bottom w:w="0" w:type="dxa"/>
              <w:right w:w="12" w:type="dxa"/>
            </w:tcMar>
            <w:vAlign w:val="center"/>
          </w:tcPr>
          <w:p>
            <w:pPr>
              <w:spacing w:line="240" w:lineRule="auto"/>
              <w:jc w:val="center"/>
              <w:rPr>
                <w:rFonts w:hint="eastAsia"/>
                <w:sz w:val="19"/>
              </w:rPr>
            </w:pPr>
            <w:r>
              <w:rPr>
                <w:sz w:val="19"/>
              </w:rPr>
              <w:t>3553</w:t>
            </w:r>
          </w:p>
        </w:tc>
        <w:tc>
          <w:tcPr>
            <w:tcW w:w="918"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114.6</w:t>
            </w:r>
          </w:p>
        </w:tc>
        <w:tc>
          <w:tcPr>
            <w:tcW w:w="999"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2</w:t>
            </w:r>
            <w:r>
              <w:rPr>
                <w:sz w:val="19"/>
              </w:rPr>
              <w:t>8.</w:t>
            </w:r>
            <w:r>
              <w:rPr>
                <w:rFonts w:hint="eastAsia"/>
                <w:sz w:val="19"/>
              </w:rPr>
              <w:t>12</w:t>
            </w:r>
          </w:p>
        </w:tc>
        <w:tc>
          <w:tcPr>
            <w:tcW w:w="998"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4</w:t>
            </w:r>
            <w:r>
              <w:rPr>
                <w:sz w:val="19"/>
              </w:rPr>
              <w:t>.09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997"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2023</w:t>
            </w:r>
          </w:p>
        </w:tc>
        <w:tc>
          <w:tcPr>
            <w:tcW w:w="1087"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3553</w:t>
            </w:r>
          </w:p>
        </w:tc>
        <w:tc>
          <w:tcPr>
            <w:tcW w:w="918"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122.7</w:t>
            </w:r>
          </w:p>
        </w:tc>
        <w:tc>
          <w:tcPr>
            <w:tcW w:w="999"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28.00</w:t>
            </w:r>
          </w:p>
        </w:tc>
        <w:tc>
          <w:tcPr>
            <w:tcW w:w="998"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4.38</w:t>
            </w:r>
          </w:p>
        </w:tc>
      </w:tr>
      <w:bookmarkEnd w:id="36"/>
    </w:tbl>
    <w:p>
      <w:pPr>
        <w:spacing w:line="360" w:lineRule="auto"/>
        <w:jc w:val="center"/>
        <w:rPr>
          <w:rFonts w:hint="eastAsia"/>
        </w:rPr>
      </w:pPr>
      <w:bookmarkStart w:id="37" w:name="_Toc94186575"/>
    </w:p>
    <w:p>
      <w:pPr>
        <w:spacing w:line="360" w:lineRule="auto"/>
        <w:jc w:val="center"/>
        <w:rPr>
          <w:rFonts w:hint="eastAsia"/>
        </w:rPr>
      </w:pPr>
      <w:r>
        <w:rPr>
          <w:rFonts w:hint="eastAsia"/>
        </w:rPr>
        <w:drawing>
          <wp:inline distT="0" distB="0" distL="0" distR="0">
            <wp:extent cx="4584700" cy="2755900"/>
            <wp:effectExtent l="0" t="0" r="6350" b="6350"/>
            <wp:docPr id="18375231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523110" name="图片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4584700" cy="2755900"/>
                    </a:xfrm>
                    <a:prstGeom prst="rect">
                      <a:avLst/>
                    </a:prstGeom>
                    <a:noFill/>
                  </pic:spPr>
                </pic:pic>
              </a:graphicData>
            </a:graphic>
          </wp:inline>
        </w:drawing>
      </w:r>
    </w:p>
    <w:p>
      <w:pPr>
        <w:pStyle w:val="8"/>
      </w:pPr>
      <w:r>
        <w:rPr>
          <w:rFonts w:hint="eastAsia"/>
        </w:rPr>
        <w:t>地区生产总值（201</w:t>
      </w:r>
      <w:r>
        <w:t>8</w:t>
      </w:r>
      <w:r>
        <w:rPr>
          <w:rFonts w:hint="eastAsia"/>
        </w:rPr>
        <w:t>-2022）</w:t>
      </w:r>
    </w:p>
    <w:p>
      <w:pPr>
        <w:spacing w:line="360" w:lineRule="auto"/>
        <w:ind w:firstLine="560" w:firstLineChars="200"/>
        <w:rPr>
          <w:rFonts w:hint="eastAsia" w:cs="仿宋_GB2312"/>
          <w:color w:val="000000" w:themeColor="text1"/>
          <w:szCs w:val="22"/>
          <w14:textFill>
            <w14:solidFill>
              <w14:schemeClr w14:val="tx1"/>
            </w14:solidFill>
          </w14:textFill>
        </w:rPr>
      </w:pPr>
      <w:r>
        <w:rPr>
          <w:rFonts w:hint="eastAsia" w:cs="仿宋_GB2312"/>
          <w:color w:val="000000" w:themeColor="text1"/>
          <w:szCs w:val="22"/>
          <w14:textFill>
            <w14:solidFill>
              <w14:schemeClr w14:val="tx1"/>
            </w14:solidFill>
          </w14:textFill>
        </w:rPr>
        <w:t>桓仁满族自治县林业用地435万亩，占全县总面积的81.8%，水域面积39.8万亩，占全县总面积7.5%，形成了“八山一水一分田”的自然地貌。地貌类型分为山地地貌、岩溶地貌和河流地貌。</w:t>
      </w:r>
    </w:p>
    <w:p>
      <w:pPr>
        <w:spacing w:line="360" w:lineRule="auto"/>
        <w:ind w:firstLine="560" w:firstLineChars="200"/>
        <w:rPr>
          <w:rFonts w:hint="eastAsia" w:cs="仿宋_GB2312"/>
          <w:color w:val="000000" w:themeColor="text1"/>
          <w:szCs w:val="22"/>
          <w14:textFill>
            <w14:solidFill>
              <w14:schemeClr w14:val="tx1"/>
            </w14:solidFill>
          </w14:textFill>
        </w:rPr>
      </w:pPr>
      <w:r>
        <w:rPr>
          <w:rFonts w:hint="eastAsia" w:cs="仿宋_GB2312"/>
          <w:color w:val="000000" w:themeColor="text1"/>
          <w:szCs w:val="22"/>
          <w14:textFill>
            <w14:solidFill>
              <w14:schemeClr w14:val="tx1"/>
            </w14:solidFill>
          </w14:textFill>
        </w:rPr>
        <w:t>桓仁太极地貌与县城建设巧妙结合，城市建筑与青山绿水交相辉映，现代气息与民族风格相辅相成，是世界唯一的八卦城，是中国唯一一个拥有城市品牌的县份，是辽宁省最具特色的县城。</w:t>
      </w:r>
    </w:p>
    <w:p>
      <w:pPr>
        <w:spacing w:line="360" w:lineRule="auto"/>
        <w:ind w:firstLine="560" w:firstLineChars="200"/>
        <w:rPr>
          <w:rFonts w:hint="eastAsia" w:cs="仿宋_GB2312"/>
          <w:color w:val="000000" w:themeColor="text1"/>
          <w:szCs w:val="22"/>
          <w14:textFill>
            <w14:solidFill>
              <w14:schemeClr w14:val="tx1"/>
            </w14:solidFill>
          </w14:textFill>
        </w:rPr>
      </w:pPr>
      <w:r>
        <w:rPr>
          <w:rFonts w:hint="eastAsia" w:cs="仿宋_GB2312"/>
          <w:color w:val="000000" w:themeColor="text1"/>
          <w:szCs w:val="22"/>
          <w14:textFill>
            <w14:solidFill>
              <w14:schemeClr w14:val="tx1"/>
            </w14:solidFill>
          </w14:textFill>
        </w:rPr>
        <w:t>桓仁境内旅游资源丰富,山、水、林、泉、洞景观齐全。拥有世界文化遗产1处，国家4A级景区3处，3A级景区3处，全县风景区总面积710平方公里。桓仁成为东北地区首批进入“中国旅游强县”的县份，是全国17个旅游强县之一，被评为“中国深呼吸小城100佳”。</w:t>
      </w:r>
    </w:p>
    <w:p>
      <w:pPr>
        <w:pStyle w:val="3"/>
      </w:pPr>
      <w:bookmarkStart w:id="38" w:name="_Toc22091"/>
      <w:r>
        <w:rPr>
          <w:rFonts w:hint="eastAsia"/>
        </w:rPr>
        <w:t>城市发展</w:t>
      </w:r>
      <w:r>
        <w:t>规划情况</w:t>
      </w:r>
      <w:bookmarkEnd w:id="37"/>
      <w:bookmarkEnd w:id="38"/>
    </w:p>
    <w:p>
      <w:pPr>
        <w:spacing w:line="360" w:lineRule="auto"/>
        <w:ind w:firstLine="562" w:firstLineChars="200"/>
        <w:rPr>
          <w:rFonts w:hint="eastAsia" w:cs="仿宋_GB2312"/>
          <w:b/>
          <w:bCs/>
          <w:color w:val="000000" w:themeColor="text1"/>
          <w:szCs w:val="22"/>
          <w14:textFill>
            <w14:solidFill>
              <w14:schemeClr w14:val="tx1"/>
            </w14:solidFill>
          </w14:textFill>
        </w:rPr>
      </w:pPr>
      <w:r>
        <w:rPr>
          <w:rFonts w:cs="仿宋_GB2312"/>
          <w:b/>
          <w:bCs/>
          <w:color w:val="000000" w:themeColor="text1"/>
          <w:szCs w:val="22"/>
          <w14:textFill>
            <w14:solidFill>
              <w14:schemeClr w14:val="tx1"/>
            </w14:solidFill>
          </w14:textFill>
        </w:rPr>
        <w:t>空间布局</w:t>
      </w:r>
    </w:p>
    <w:p>
      <w:pPr>
        <w:spacing w:line="360" w:lineRule="auto"/>
        <w:ind w:firstLine="560" w:firstLineChars="200"/>
        <w:rPr>
          <w:rFonts w:hint="eastAsia" w:cs="仿宋_GB2312"/>
          <w:color w:val="000000" w:themeColor="text1"/>
          <w:szCs w:val="22"/>
          <w14:textFill>
            <w14:solidFill>
              <w14:schemeClr w14:val="tx1"/>
            </w14:solidFill>
          </w14:textFill>
        </w:rPr>
      </w:pPr>
      <w:r>
        <w:rPr>
          <w:rFonts w:cs="仿宋_GB2312"/>
          <w:color w:val="000000" w:themeColor="text1"/>
          <w:szCs w:val="22"/>
          <w14:textFill>
            <w14:solidFill>
              <w14:schemeClr w14:val="tx1"/>
            </w14:solidFill>
          </w14:textFill>
        </w:rPr>
        <w:t>展望新时代，面对新机遇、新挑战，我们必须准确把握新发展阶段的特征和规律，发扬斗争精神，树立底线思维，准确识变、科学应变、主动求变，善于在危机中育先机、于变局中开新局，抢抓机遇，直面挑战，奋力实现桓仁全面振兴全方位振兴。</w:t>
      </w:r>
      <w:r>
        <w:rPr>
          <w:rFonts w:hint="eastAsia" w:cs="仿宋_GB2312"/>
          <w:color w:val="000000" w:themeColor="text1"/>
          <w:szCs w:val="22"/>
          <w14:textFill>
            <w14:solidFill>
              <w14:schemeClr w14:val="tx1"/>
            </w14:solidFill>
          </w14:textFill>
        </w:rPr>
        <w:t>202</w:t>
      </w:r>
      <w:r>
        <w:rPr>
          <w:rFonts w:cs="仿宋_GB2312"/>
          <w:color w:val="000000" w:themeColor="text1"/>
          <w:szCs w:val="22"/>
          <w14:textFill>
            <w14:solidFill>
              <w14:schemeClr w14:val="tx1"/>
            </w14:solidFill>
          </w14:textFill>
        </w:rPr>
        <w:t>2</w:t>
      </w:r>
      <w:r>
        <w:rPr>
          <w:rFonts w:hint="eastAsia" w:cs="仿宋_GB2312"/>
          <w:color w:val="000000" w:themeColor="text1"/>
          <w:szCs w:val="22"/>
          <w14:textFill>
            <w14:solidFill>
              <w14:schemeClr w14:val="tx1"/>
            </w14:solidFill>
          </w14:textFill>
        </w:rPr>
        <w:t>年桓仁满族自治县域常住人口</w:t>
      </w:r>
      <w:r>
        <w:rPr>
          <w:rFonts w:cs="仿宋_GB2312"/>
          <w:color w:val="000000" w:themeColor="text1"/>
          <w:szCs w:val="22"/>
          <w14:textFill>
            <w14:solidFill>
              <w14:schemeClr w14:val="tx1"/>
            </w14:solidFill>
          </w14:textFill>
        </w:rPr>
        <w:t>28.00</w:t>
      </w:r>
      <w:r>
        <w:rPr>
          <w:rFonts w:hint="eastAsia" w:cs="仿宋_GB2312"/>
          <w:color w:val="000000" w:themeColor="text1"/>
          <w:szCs w:val="22"/>
          <w14:textFill>
            <w14:solidFill>
              <w14:schemeClr w14:val="tx1"/>
            </w14:solidFill>
          </w14:textFill>
        </w:rPr>
        <w:t>万人。</w:t>
      </w:r>
    </w:p>
    <w:p>
      <w:pPr>
        <w:spacing w:line="360" w:lineRule="auto"/>
        <w:ind w:firstLine="560" w:firstLineChars="200"/>
        <w:rPr>
          <w:rFonts w:hint="eastAsia" w:cs="仿宋_GB2312"/>
          <w:color w:val="000000" w:themeColor="text1"/>
          <w:szCs w:val="22"/>
          <w14:textFill>
            <w14:solidFill>
              <w14:schemeClr w14:val="tx1"/>
            </w14:solidFill>
          </w14:textFill>
        </w:rPr>
      </w:pPr>
      <w:r>
        <w:rPr>
          <w:rFonts w:cs="仿宋_GB2312"/>
          <w:color w:val="000000" w:themeColor="text1"/>
          <w:szCs w:val="22"/>
          <w14:textFill>
            <w14:solidFill>
              <w14:schemeClr w14:val="tx1"/>
            </w14:solidFill>
          </w14:textFill>
        </w:rPr>
        <w:t>优化城镇空间布局。构建“一核、四副、多点”的城乡空间布局。推进中心县城品质提升（一核）。依托国家县城新型城镇化示范县建设，以建设现代化中型城市为目标，提升县城公共服务设施和基础设施建设水平，促进产城融合、城乡融合，增强对乡镇（村）辐射带动能力，促进主城区由规模扩张向内涵式提升转变，建成美丽县城新样板。推进四大中心镇建设（四副）。即华来镇、古城镇、二棚甸子镇、普乐堡镇四个中心镇，以建设现代化小城市为目标，加快中心镇建设步伐，科学规划空间布局，承接县城功能和服务，带动周边乡镇发展，打造县域新增长极。推进特色乡镇建设。建设一批产业特色鲜明、生态环境优良、社会事业进步、功能设施完善的特色乡镇，作为农村连接城镇的纽带、城镇体系的重要节点。</w:t>
      </w:r>
    </w:p>
    <w:p>
      <w:pPr>
        <w:spacing w:line="360" w:lineRule="auto"/>
        <w:ind w:firstLine="562" w:firstLineChars="200"/>
        <w:rPr>
          <w:rFonts w:hint="eastAsia" w:cs="仿宋_GB2312"/>
          <w:b/>
          <w:bCs/>
          <w:color w:val="000000" w:themeColor="text1"/>
          <w:szCs w:val="22"/>
          <w14:textFill>
            <w14:solidFill>
              <w14:schemeClr w14:val="tx1"/>
            </w14:solidFill>
          </w14:textFill>
        </w:rPr>
      </w:pPr>
      <w:r>
        <w:rPr>
          <w:rFonts w:cs="仿宋_GB2312"/>
          <w:b/>
          <w:bCs/>
          <w:color w:val="000000" w:themeColor="text1"/>
          <w:szCs w:val="22"/>
          <w14:textFill>
            <w14:solidFill>
              <w14:schemeClr w14:val="tx1"/>
            </w14:solidFill>
          </w14:textFill>
        </w:rPr>
        <w:t>未来发展情况</w:t>
      </w:r>
    </w:p>
    <w:p>
      <w:pPr>
        <w:spacing w:line="360" w:lineRule="auto"/>
        <w:ind w:firstLine="560" w:firstLineChars="200"/>
        <w:rPr>
          <w:rFonts w:hint="eastAsia" w:cs="仿宋_GB2312"/>
          <w:color w:val="000000" w:themeColor="text1"/>
          <w:szCs w:val="22"/>
          <w14:textFill>
            <w14:solidFill>
              <w14:schemeClr w14:val="tx1"/>
            </w14:solidFill>
          </w14:textFill>
        </w:rPr>
      </w:pPr>
      <w:r>
        <w:rPr>
          <w:rFonts w:hint="eastAsia" w:cs="仿宋_GB2312"/>
          <w:color w:val="000000" w:themeColor="text1"/>
          <w:szCs w:val="22"/>
          <w14:textFill>
            <w14:solidFill>
              <w14:schemeClr w14:val="tx1"/>
            </w14:solidFill>
          </w14:textFill>
        </w:rPr>
        <w:t>未来桓仁满族自治县将紧紧围绕经济社会转型突破发展，全力构建</w:t>
      </w:r>
      <w:r>
        <w:rPr>
          <w:rFonts w:cs="仿宋_GB2312"/>
          <w:color w:val="000000" w:themeColor="text1"/>
          <w:szCs w:val="22"/>
          <w14:textFill>
            <w14:solidFill>
              <w14:schemeClr w14:val="tx1"/>
            </w14:solidFill>
          </w14:textFill>
        </w:rPr>
        <w:t>优化产业空间布局。打造“一核一带两轴三区”产业空间布局。“一核”突出五女山经济开发区作为省级开发区引领作用。强化开发区在中部生态产业集聚区布局中的核心地位，进一步优化园区空间布局，推进开发区高质量发展。</w:t>
      </w:r>
    </w:p>
    <w:p>
      <w:pPr>
        <w:spacing w:line="360" w:lineRule="auto"/>
        <w:ind w:firstLine="560" w:firstLineChars="200"/>
        <w:rPr>
          <w:rFonts w:hint="eastAsia" w:cs="仿宋_GB2312"/>
          <w:color w:val="000000" w:themeColor="text1"/>
          <w:szCs w:val="22"/>
          <w14:textFill>
            <w14:solidFill>
              <w14:schemeClr w14:val="tx1"/>
            </w14:solidFill>
          </w14:textFill>
        </w:rPr>
      </w:pPr>
      <w:r>
        <w:rPr>
          <w:rFonts w:cs="仿宋_GB2312"/>
          <w:color w:val="000000" w:themeColor="text1"/>
          <w:szCs w:val="22"/>
          <w14:textFill>
            <w14:solidFill>
              <w14:schemeClr w14:val="tx1"/>
            </w14:solidFill>
          </w14:textFill>
        </w:rPr>
        <w:t>“一带”：打造浑江流域生态经济带。结合浑江流域生态保护，推动生态产业化和产业生态化。将“浑江流域水岸共治”作为产业发展的先决条件，通过浑江干支流和小流域治理、生态修复、农业面源污染治理、人居环境整治等手段，拉升桓仁生态价值，打造全流域“景区化和花园化”的产业空间载体，不断汇聚土地、资金、企业、项目等要素资源，推动形成以大健康和生命产业为主题的现代农业、食品医药、休闲文旅和康养服务产业集群。</w:t>
      </w:r>
    </w:p>
    <w:p>
      <w:pPr>
        <w:spacing w:line="360" w:lineRule="auto"/>
        <w:ind w:firstLine="560" w:firstLineChars="200"/>
        <w:rPr>
          <w:rFonts w:hint="eastAsia" w:cs="仿宋_GB2312"/>
          <w:color w:val="000000" w:themeColor="text1"/>
          <w:szCs w:val="22"/>
          <w14:textFill>
            <w14:solidFill>
              <w14:schemeClr w14:val="tx1"/>
            </w14:solidFill>
          </w14:textFill>
        </w:rPr>
      </w:pPr>
      <w:r>
        <w:rPr>
          <w:rFonts w:cs="仿宋_GB2312"/>
          <w:color w:val="000000" w:themeColor="text1"/>
          <w:szCs w:val="22"/>
          <w14:textFill>
            <w14:solidFill>
              <w14:schemeClr w14:val="tx1"/>
            </w14:solidFill>
          </w14:textFill>
        </w:rPr>
        <w:t>“两轴”：沿G201国道、丹通高速，建设南北生态旅游产业轴，向北依托五女山城等旅游资源，向南依托大雅河和回龙湖国家级旅游度假区旅游资源，融入东北东部绿色经济带；沿永桓高速与S201省道，建设东西生态健康产业轴，拓展城市功能，依托交通物流枢纽优势，推动大健康产业协同连片发展，融入辽东绿色经济区。</w:t>
      </w:r>
    </w:p>
    <w:p>
      <w:pPr>
        <w:spacing w:line="360" w:lineRule="auto"/>
        <w:ind w:firstLine="560" w:firstLineChars="200"/>
        <w:rPr>
          <w:rFonts w:hint="eastAsia" w:cs="仿宋_GB2312"/>
          <w:color w:val="000000" w:themeColor="text1"/>
          <w:szCs w:val="22"/>
          <w14:textFill>
            <w14:solidFill>
              <w14:schemeClr w14:val="tx1"/>
            </w14:solidFill>
          </w14:textFill>
        </w:rPr>
      </w:pPr>
      <w:r>
        <w:rPr>
          <w:rFonts w:cs="仿宋_GB2312"/>
          <w:color w:val="000000" w:themeColor="text1"/>
          <w:szCs w:val="22"/>
          <w14:textFill>
            <w14:solidFill>
              <w14:schemeClr w14:val="tx1"/>
            </w14:solidFill>
          </w14:textFill>
        </w:rPr>
        <w:t>“三区”：建设中部生态产业集聚区、西部生态农业发展区、东部生态林下经济区，打造三大县域经济引擎。</w:t>
      </w:r>
    </w:p>
    <w:p>
      <w:pPr>
        <w:spacing w:line="360" w:lineRule="auto"/>
        <w:jc w:val="center"/>
        <w:rPr>
          <w:rStyle w:val="42"/>
          <w:rFonts w:hint="default" w:hAnsi="仿宋_GB2312" w:cs="仿宋_GB2312"/>
          <w:color w:val="000000" w:themeColor="text1"/>
          <w:sz w:val="28"/>
          <w:szCs w:val="28"/>
          <w14:textFill>
            <w14:solidFill>
              <w14:schemeClr w14:val="tx1"/>
            </w14:solidFill>
          </w14:textFill>
        </w:rPr>
      </w:pPr>
      <w:r>
        <w:rPr>
          <w:rStyle w:val="42"/>
          <w:rFonts w:hint="default" w:hAnsi="仿宋_GB2312" w:cs="仿宋_GB2312"/>
          <w:color w:val="000000" w:themeColor="text1"/>
          <w:sz w:val="28"/>
          <w:szCs w:val="28"/>
          <w14:textFill>
            <w14:solidFill>
              <w14:schemeClr w14:val="tx1"/>
            </w14:solidFill>
          </w14:textFill>
        </w:rPr>
        <w:drawing>
          <wp:inline distT="0" distB="0" distL="0" distR="0">
            <wp:extent cx="5242560" cy="3863340"/>
            <wp:effectExtent l="0" t="0" r="0" b="3810"/>
            <wp:docPr id="19828418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841871" name="图片 1"/>
                    <pic:cNvPicPr>
                      <a:picLocks noChangeAspect="1"/>
                    </pic:cNvPicPr>
                  </pic:nvPicPr>
                  <pic:blipFill>
                    <a:blip r:embed="rId13"/>
                    <a:stretch>
                      <a:fillRect/>
                    </a:stretch>
                  </pic:blipFill>
                  <pic:spPr>
                    <a:xfrm>
                      <a:off x="0" y="0"/>
                      <a:ext cx="5243014" cy="3863675"/>
                    </a:xfrm>
                    <a:prstGeom prst="rect">
                      <a:avLst/>
                    </a:prstGeom>
                  </pic:spPr>
                </pic:pic>
              </a:graphicData>
            </a:graphic>
          </wp:inline>
        </w:drawing>
      </w:r>
    </w:p>
    <w:p>
      <w:pPr>
        <w:pStyle w:val="8"/>
      </w:pPr>
      <w:r>
        <w:t>桓仁满族自治县城区图</w:t>
      </w:r>
    </w:p>
    <w:p>
      <w:pPr>
        <w:spacing w:line="360" w:lineRule="auto"/>
        <w:ind w:firstLine="560" w:firstLineChars="200"/>
        <w:rPr>
          <w:rFonts w:hint="eastAsia" w:cs="仿宋_GB2312"/>
          <w:color w:val="000000" w:themeColor="text1"/>
          <w:szCs w:val="22"/>
          <w14:textFill>
            <w14:solidFill>
              <w14:schemeClr w14:val="tx1"/>
            </w14:solidFill>
          </w14:textFill>
        </w:rPr>
      </w:pPr>
      <w:r>
        <w:rPr>
          <w:rFonts w:cs="仿宋_GB2312"/>
          <w:color w:val="000000" w:themeColor="text1"/>
          <w:szCs w:val="22"/>
          <w14:textFill>
            <w14:solidFill>
              <w14:schemeClr w14:val="tx1"/>
            </w14:solidFill>
          </w14:textFill>
        </w:rPr>
        <w:t>“生态立县、工业强县、旅游兴县、文化名县”四大战略稳步实施，全县已形成大健康、绿色农产品深加工、绿色能源等主导产业，为顺利实现“十四五”规划和2035年远景目标奠定坚实基础。“十四五”时期，桓仁将依托国家县城新型城镇化示范县建设，全面提升县城城镇化水平；深度融入东北东部绿色经济带，加快新能源产业基地、中医药健康旅游示范区建设，完善综合交通运输网络；以国家生态文明先行示范区建设为契机，加速生态优势向发展优势转化；依托国家数字乡村试点，加快推动城乡融合发展。未来五年，随着古城机场、本桓高速公路、丹通客运专线、桓永城际高铁连接线等交通网络的日趋完善，桓仁将加快融入东北东部绿色经济带、沈阳现代化都市圈、辽东绿色经济区，生态资源优势将全面转化为绿色经济发展优势，全力打造国家生态经济强县。</w:t>
      </w:r>
    </w:p>
    <w:p>
      <w:pPr>
        <w:spacing w:line="360" w:lineRule="auto"/>
        <w:ind w:firstLine="560" w:firstLineChars="200"/>
        <w:rPr>
          <w:rFonts w:hint="eastAsia"/>
          <w:color w:val="4472C4" w:themeColor="accent1"/>
          <w:sz w:val="24"/>
          <w:szCs w:val="24"/>
          <w14:textFill>
            <w14:solidFill>
              <w14:schemeClr w14:val="accent1"/>
            </w14:solidFill>
          </w14:textFill>
        </w:rPr>
      </w:pPr>
      <w:r>
        <w:rPr>
          <w:rFonts w:cs="仿宋_GB2312"/>
          <w:szCs w:val="22"/>
        </w:rPr>
        <w:br w:type="page"/>
      </w:r>
    </w:p>
    <w:p>
      <w:pPr>
        <w:pStyle w:val="2"/>
      </w:pPr>
      <w:bookmarkStart w:id="39" w:name="_Toc21934"/>
      <w:bookmarkStart w:id="40" w:name="_Toc94186576"/>
      <w:r>
        <w:rPr>
          <w:b w:val="0"/>
          <w:color w:val="000000" w:themeColor="text1"/>
          <w14:textFill>
            <w14:solidFill>
              <w14:schemeClr w14:val="tx1"/>
            </w14:solidFill>
          </w14:textFill>
        </w:rPr>
        <w:t>电动汽车及充电设施</w:t>
      </w:r>
      <w:r>
        <w:rPr>
          <w:rFonts w:hint="eastAsia"/>
          <w:b w:val="0"/>
          <w:color w:val="000000" w:themeColor="text1"/>
          <w14:textFill>
            <w14:solidFill>
              <w14:schemeClr w14:val="tx1"/>
            </w14:solidFill>
          </w14:textFill>
        </w:rPr>
        <w:t>现状</w:t>
      </w:r>
      <w:r>
        <w:rPr>
          <w:b w:val="0"/>
          <w:color w:val="000000" w:themeColor="text1"/>
          <w14:textFill>
            <w14:solidFill>
              <w14:schemeClr w14:val="tx1"/>
            </w14:solidFill>
          </w14:textFill>
        </w:rPr>
        <w:t>分析</w:t>
      </w:r>
      <w:bookmarkEnd w:id="39"/>
      <w:bookmarkEnd w:id="40"/>
    </w:p>
    <w:p>
      <w:pPr>
        <w:pStyle w:val="3"/>
      </w:pPr>
      <w:bookmarkStart w:id="41" w:name="_Toc94186577"/>
      <w:bookmarkStart w:id="42" w:name="_Toc19471"/>
      <w:r>
        <w:rPr>
          <w:color w:val="000000" w:themeColor="text1"/>
          <w14:textFill>
            <w14:solidFill>
              <w14:schemeClr w14:val="tx1"/>
            </w14:solidFill>
          </w14:textFill>
        </w:rPr>
        <w:t>政策环境</w:t>
      </w:r>
      <w:bookmarkEnd w:id="41"/>
      <w:bookmarkEnd w:id="42"/>
    </w:p>
    <w:p>
      <w:pPr>
        <w:spacing w:line="360" w:lineRule="auto"/>
        <w:ind w:firstLine="560" w:firstLineChars="200"/>
        <w:rPr>
          <w:rFonts w:hint="eastAsia"/>
        </w:rPr>
      </w:pPr>
      <w:bookmarkStart w:id="43" w:name="_Toc94186578"/>
      <w:r>
        <w:t>“十三五”以来，我国电动汽车和充电基础设施发展取得了一系列突破，积累了宝贵的经验，为加快燃油替代，减少汽车尾气排放，保障能源安全，同时为更快更广地普及电动汽车，推进能源消费革命，推动我国从汽车大国走向汽车强国之列，国家及有关部门自2015年以来出台了多项重要文件。</w:t>
      </w:r>
    </w:p>
    <w:p>
      <w:pPr>
        <w:spacing w:line="360" w:lineRule="auto"/>
        <w:ind w:firstLine="561"/>
        <w:rPr>
          <w:rFonts w:hint="eastAsia"/>
        </w:rPr>
      </w:pPr>
      <w:r>
        <w:rPr>
          <w:rFonts w:hint="eastAsia"/>
          <w:b/>
          <w:bCs/>
        </w:rPr>
        <w:t>2</w:t>
      </w:r>
      <w:r>
        <w:rPr>
          <w:b/>
          <w:bCs/>
        </w:rPr>
        <w:t>015</w:t>
      </w:r>
      <w:r>
        <w:rPr>
          <w:rFonts w:hint="eastAsia"/>
          <w:b/>
          <w:bCs/>
        </w:rPr>
        <w:t>年，国务院办公厅下发《关于加快电动汽车充电基础设施建设的指导意见》</w:t>
      </w:r>
      <w:r>
        <w:rPr>
          <w:rFonts w:hint="eastAsia"/>
        </w:rPr>
        <w:t>，《意见》提出，原则上，新建住宅配建停车位应100%建设充电设施或预留建设安装条件，大型公共建筑物配建停车场、社会公共停车场建设充电设施或预留建设安装条件的车位比例不低于10%，每2000辆电动汽车至少配套建设一座公共充电站。</w:t>
      </w:r>
    </w:p>
    <w:p>
      <w:pPr>
        <w:spacing w:line="360" w:lineRule="auto"/>
        <w:ind w:firstLine="562" w:firstLineChars="200"/>
        <w:rPr>
          <w:rFonts w:hint="eastAsia"/>
        </w:rPr>
      </w:pPr>
      <w:r>
        <w:rPr>
          <w:b/>
          <w:bCs/>
        </w:rPr>
        <w:t>2015年12月，住房城乡建设部印发《关于加强城市电动汽车充电设施规划建设工作的通知》</w:t>
      </w:r>
      <w:r>
        <w:t>，</w:t>
      </w:r>
      <w:r>
        <w:rPr>
          <w:rFonts w:hint="eastAsia"/>
        </w:rPr>
        <w:t>《通知》</w:t>
      </w:r>
      <w:r>
        <w:t>指出要充分认识加快推进电动汽车充电基础设施规划建设的重要意义，明确重点任务和工作目标，加大充电设施规划建设力度，并提出了保障措施。</w:t>
      </w:r>
    </w:p>
    <w:p>
      <w:pPr>
        <w:spacing w:line="360" w:lineRule="auto"/>
        <w:ind w:firstLine="562" w:firstLineChars="200"/>
        <w:rPr>
          <w:rFonts w:hint="eastAsia"/>
        </w:rPr>
      </w:pPr>
      <w:r>
        <w:rPr>
          <w:b/>
          <w:bCs/>
        </w:rPr>
        <w:t>2018年2月，财政部、工业、信息化部、科技部和发展改革委发</w:t>
      </w:r>
      <w:r>
        <w:rPr>
          <w:rFonts w:hint="eastAsia"/>
          <w:b/>
          <w:bCs/>
        </w:rPr>
        <w:t>布</w:t>
      </w:r>
      <w:r>
        <w:rPr>
          <w:b/>
          <w:bCs/>
        </w:rPr>
        <w:t>《关于调整完善新能源汽车推广应用财政补贴政策的通知》财建[2018]18号</w:t>
      </w:r>
      <w:r>
        <w:rPr>
          <w:rFonts w:hint="eastAsia"/>
        </w:rPr>
        <w:t>，</w:t>
      </w:r>
      <w:r>
        <w:t>为贯彻落实党的十九大精神，加快促进新能源汽车产业提质增效、增强核心竞争力、实现高质量发展，做好新能源汽车推广应用工作。</w:t>
      </w:r>
    </w:p>
    <w:p>
      <w:pPr>
        <w:spacing w:line="360" w:lineRule="auto"/>
        <w:ind w:firstLine="562" w:firstLineChars="200"/>
        <w:rPr>
          <w:rFonts w:hint="eastAsia"/>
        </w:rPr>
      </w:pPr>
      <w:r>
        <w:rPr>
          <w:b/>
          <w:bCs/>
        </w:rPr>
        <w:t>2018年11月，国家发展改革委、国家能源局、工业和信息化部、财政部发</w:t>
      </w:r>
      <w:r>
        <w:rPr>
          <w:rFonts w:hint="eastAsia"/>
          <w:b/>
          <w:bCs/>
        </w:rPr>
        <w:t>布</w:t>
      </w:r>
      <w:r>
        <w:rPr>
          <w:b/>
          <w:bCs/>
        </w:rPr>
        <w:t>《提升新能源汽车充电保障能力行动计划的通知》发改能源〔2018〕1698号</w:t>
      </w:r>
      <w:r>
        <w:t>，深入贯彻习近平新时代中国特色社会主义思想，落实党中央、国务院关于加快新能源汽车发展的决策部署，以新能源汽车推广应用为出发点，以提升充电保障能力为行动目标，推动充电基础设施高质量发展，为新能源汽车发展提供坚实能源保障，为新能源汽车用户提供更高效便捷的充电服务。</w:t>
      </w:r>
    </w:p>
    <w:p>
      <w:pPr>
        <w:spacing w:line="360" w:lineRule="auto"/>
        <w:ind w:firstLine="562" w:firstLineChars="200"/>
        <w:rPr>
          <w:rFonts w:hint="eastAsia"/>
        </w:rPr>
      </w:pPr>
      <w:r>
        <w:rPr>
          <w:b/>
          <w:bCs/>
        </w:rPr>
        <w:t>2020年10月，国务院办公厅发《新能源汽车产业发展规划（2021—2035年）的通知》国办发〔2020〕39号</w:t>
      </w:r>
      <w:r>
        <w:rPr>
          <w:rFonts w:hint="eastAsia"/>
        </w:rPr>
        <w:t>，</w:t>
      </w:r>
      <w:r>
        <w:t>发展新能源汽车是我国从汽车大国迈向汽车强国的必由之路，是应对气候变化、推动绿色发展的战略举措。2012年国务院发布《节能与新能源汽车产业发展规划（2012—2020年）》以来，我国坚持纯电驱动战略取向，新能源汽车产业发展取得了巨大成就，成为世界汽车产业发展转型的重要力量之一。与此同时，我国新能源汽车发展也面临核心技术创新能力不强、质量保障体系有待完善、基础设施建设仍显滞后、产业生态尚不健全、市场竞争日益加剧等问题。</w:t>
      </w:r>
    </w:p>
    <w:p>
      <w:pPr>
        <w:spacing w:line="360" w:lineRule="auto"/>
        <w:ind w:firstLine="562" w:firstLineChars="200"/>
        <w:rPr>
          <w:rFonts w:hint="eastAsia"/>
        </w:rPr>
      </w:pPr>
      <w:r>
        <w:rPr>
          <w:b/>
          <w:bCs/>
        </w:rPr>
        <w:t>2021年5月，国家发展改革委、国家能源局出台了《关于进一步提升充换电基础设施服务保障能力的实施意见（征求意见稿）》</w:t>
      </w:r>
      <w:r>
        <w:rPr>
          <w:rFonts w:hint="eastAsia"/>
        </w:rPr>
        <w:t>《意见》</w:t>
      </w:r>
      <w:r>
        <w:t>中提到，将符合条件的充换电设施以及配套电网建设与改造投资，纳入新基建专项债券和中国清洁发展机制基金支持范围。由国家开发银行等金融机构通过多种渠道，为充换电设施建设提供长期低成本资金。鼓励保险机构开发适合充换电设施的商业保险产品。</w:t>
      </w:r>
    </w:p>
    <w:p>
      <w:pPr>
        <w:spacing w:line="360" w:lineRule="auto"/>
        <w:ind w:firstLine="562" w:firstLineChars="200"/>
        <w:rPr>
          <w:rFonts w:hint="eastAsia"/>
          <w:b/>
          <w:bCs/>
        </w:rPr>
      </w:pPr>
      <w:r>
        <w:rPr>
          <w:b/>
          <w:bCs/>
        </w:rPr>
        <w:t>2021年3月26日，中央发布国务院关于落实《政府工作报告》重点工作分工的意见，</w:t>
      </w:r>
      <w:r>
        <w:t>意见</w:t>
      </w:r>
      <w:r>
        <w:rPr>
          <w:rFonts w:hint="eastAsia"/>
        </w:rPr>
        <w:t>中</w:t>
      </w:r>
      <w:r>
        <w:t>提出：要稳定增加汽车等大宗消费，增加充电桩、换电站等设施，加快建设动力电池回收利用体系。这是继2020年充电桩被纳入新基建、被写进《政府工作报告》后的又一次强调，国家能源局电力司司长黄学农也表示：实现碳达峰碳中和的战略目标，要推动新能源成为电力供应主体，构建新型电力系统。</w:t>
      </w:r>
    </w:p>
    <w:p>
      <w:pPr>
        <w:spacing w:line="360" w:lineRule="auto"/>
        <w:ind w:firstLine="562" w:firstLineChars="200"/>
        <w:rPr>
          <w:rFonts w:hint="eastAsia"/>
        </w:rPr>
      </w:pPr>
      <w:r>
        <w:rPr>
          <w:rFonts w:hint="eastAsia"/>
          <w:b/>
          <w:bCs/>
        </w:rPr>
        <w:t>2</w:t>
      </w:r>
      <w:r>
        <w:rPr>
          <w:b/>
          <w:bCs/>
        </w:rPr>
        <w:t>022</w:t>
      </w:r>
      <w:r>
        <w:rPr>
          <w:rFonts w:hint="eastAsia"/>
          <w:b/>
          <w:bCs/>
        </w:rPr>
        <w:t>年1月，为更好地满足公众高品质、多样化出行需求，按照党中央、国务院决策部署，国家发展改革委会同各部门印发《关于进一步提升电动汽车充电基础设施服务保障能力的实施意见》（发改能源规〔2022〕53号）</w:t>
      </w:r>
      <w:r>
        <w:rPr>
          <w:rFonts w:hint="eastAsia"/>
        </w:rPr>
        <w:t>，部署各地多向发力、加快推动，确保到“十四五”末，能够满足超过2000万辆电动汽车充电需求。加强快充站项目立项与验收环节管理，做好建设用地和配套电源保障工作。</w:t>
      </w:r>
    </w:p>
    <w:p>
      <w:pPr>
        <w:spacing w:line="360" w:lineRule="auto"/>
        <w:ind w:firstLine="562" w:firstLineChars="200"/>
        <w:rPr>
          <w:rFonts w:hint="eastAsia"/>
          <w:b/>
          <w:bCs/>
        </w:rPr>
      </w:pPr>
      <w:r>
        <w:rPr>
          <w:rFonts w:hint="eastAsia"/>
          <w:b/>
          <w:bCs/>
        </w:rPr>
        <w:t>2</w:t>
      </w:r>
      <w:r>
        <w:rPr>
          <w:b/>
          <w:bCs/>
        </w:rPr>
        <w:t>022</w:t>
      </w:r>
      <w:r>
        <w:rPr>
          <w:rFonts w:hint="eastAsia"/>
          <w:b/>
          <w:bCs/>
        </w:rPr>
        <w:t>年</w:t>
      </w:r>
      <w:r>
        <w:rPr>
          <w:b/>
          <w:bCs/>
        </w:rPr>
        <w:t>7</w:t>
      </w:r>
      <w:r>
        <w:rPr>
          <w:rFonts w:hint="eastAsia"/>
          <w:b/>
          <w:bCs/>
        </w:rPr>
        <w:t>月，为进一步稳定和扩大汽车消费，促进消费持续恢复，国家发展改革委会同有关部门和单位研究制定《关于促进汽车消费的若干措施》。</w:t>
      </w:r>
      <w:r>
        <w:rPr>
          <w:rFonts w:hint="eastAsia"/>
        </w:rPr>
        <w:t>积极支持充电设施建设，加快推进居住社区、停车场、加油站、高速公路服务区、客货运枢纽等充电设施建设，引导充电桩运营企业适当下调充电服务费。</w:t>
      </w:r>
    </w:p>
    <w:p>
      <w:pPr>
        <w:spacing w:line="360" w:lineRule="auto"/>
        <w:ind w:firstLine="562" w:firstLineChars="200"/>
        <w:rPr>
          <w:rFonts w:hint="eastAsia"/>
        </w:rPr>
      </w:pPr>
      <w:r>
        <w:rPr>
          <w:rFonts w:hint="eastAsia"/>
          <w:b/>
          <w:bCs/>
        </w:rPr>
        <w:t>2</w:t>
      </w:r>
      <w:r>
        <w:rPr>
          <w:b/>
          <w:bCs/>
        </w:rPr>
        <w:t>022</w:t>
      </w:r>
      <w:r>
        <w:rPr>
          <w:rFonts w:hint="eastAsia"/>
          <w:b/>
          <w:bCs/>
        </w:rPr>
        <w:t>年8月，为深入贯彻落实党中央、国务院决策部署，加快健全完善公路沿线充电基础设施，不断满足日益增长的电动汽车充电需求，交通运输部联合国家能源局、国家电网有限公司、中国南方电网有限责任公司印发了《加快推进公路沿线充电基础设施建设行动方案》。</w:t>
      </w:r>
      <w:r>
        <w:rPr>
          <w:rFonts w:hint="eastAsia"/>
        </w:rPr>
        <w:t>到2025年底前，高速公路和普通国省干线公路服务《站》充电基础设施进一步加密优化，农村公路沿线有效覆盖，基本形成“固定设施为主体，移动设施为补充，重要节点全覆盖，运行维护服务好，群众出行有保障”的公路沿线充电基础设施网络。</w:t>
      </w:r>
    </w:p>
    <w:p>
      <w:pPr>
        <w:spacing w:line="360" w:lineRule="auto"/>
        <w:ind w:firstLine="562" w:firstLineChars="200"/>
        <w:rPr>
          <w:rFonts w:hint="eastAsia"/>
          <w:b/>
          <w:bCs/>
        </w:rPr>
      </w:pPr>
      <w:r>
        <w:rPr>
          <w:rFonts w:hint="eastAsia"/>
          <w:b/>
          <w:bCs/>
        </w:rPr>
        <w:t>2</w:t>
      </w:r>
      <w:r>
        <w:rPr>
          <w:b/>
          <w:bCs/>
        </w:rPr>
        <w:t>023</w:t>
      </w:r>
      <w:r>
        <w:rPr>
          <w:rFonts w:hint="eastAsia"/>
          <w:b/>
          <w:bCs/>
        </w:rPr>
        <w:t>年，国家发展改革委、国家能源局联合印发</w:t>
      </w:r>
      <w:r>
        <w:rPr>
          <w:b/>
          <w:bCs/>
        </w:rPr>
        <w:t>《国家发展改革委等部门关于进一步提升电动汽车充电基础设施服务保障能力的实施意见》</w:t>
      </w:r>
      <w:r>
        <w:rPr>
          <w:rFonts w:hint="eastAsia"/>
          <w:b/>
          <w:bCs/>
        </w:rPr>
        <w:t>（</w:t>
      </w:r>
      <w:r>
        <w:rPr>
          <w:b/>
          <w:bCs/>
        </w:rPr>
        <w:t>发改综合〔2023〕545号</w:t>
      </w:r>
      <w:r>
        <w:rPr>
          <w:rFonts w:hint="eastAsia"/>
          <w:b/>
          <w:bCs/>
        </w:rPr>
        <w:t>），《实施意见》1</w:t>
      </w:r>
      <w:r>
        <w:rPr>
          <w:b/>
          <w:bCs/>
        </w:rPr>
        <w:t>1</w:t>
      </w:r>
      <w:r>
        <w:rPr>
          <w:rFonts w:hint="eastAsia"/>
          <w:b/>
          <w:bCs/>
        </w:rPr>
        <w:t>项具体举措。</w:t>
      </w:r>
      <w:r>
        <w:rPr>
          <w:rFonts w:hint="eastAsia"/>
        </w:rPr>
        <w:t>通过适度超前建设充电基础设施、优化新能源汽车购买使用环境，着力推动新能源汽车下乡，</w:t>
      </w:r>
      <w:r>
        <w:t>加快实现适宜使用新能源汽车的地区充电站“县县全覆盖”、充电桩“乡乡全覆盖”。</w:t>
      </w:r>
    </w:p>
    <w:p>
      <w:pPr>
        <w:spacing w:line="360" w:lineRule="auto"/>
        <w:ind w:firstLine="562" w:firstLineChars="200"/>
        <w:rPr>
          <w:rFonts w:hint="eastAsia"/>
          <w:b/>
          <w:bCs/>
        </w:rPr>
      </w:pPr>
      <w:r>
        <w:rPr>
          <w:rFonts w:hint="eastAsia"/>
          <w:b/>
          <w:bCs/>
        </w:rPr>
        <w:t>辽宁省发展改革委关于印发</w:t>
      </w:r>
      <w:r>
        <w:rPr>
          <w:b/>
          <w:bCs/>
        </w:rPr>
        <w:t>《辽宁省电动汽车充电基础设施“十四五”专项规划》</w:t>
      </w:r>
      <w:r>
        <w:rPr>
          <w:rFonts w:hint="eastAsia"/>
          <w:b/>
          <w:bCs/>
        </w:rPr>
        <w:t>，</w:t>
      </w:r>
      <w:r>
        <w:rPr>
          <w:rFonts w:hint="eastAsia"/>
        </w:rPr>
        <w:t>《规划》提出</w:t>
      </w:r>
      <w:r>
        <w:t>加大新建居住社区充电设施建设力度</w:t>
      </w:r>
      <w:r>
        <w:rPr>
          <w:rFonts w:hint="eastAsia"/>
        </w:rPr>
        <w:t>，</w:t>
      </w:r>
      <w:r>
        <w:t>严格落实新建居住社区配建要求，新建住宅项目规划要确保固定车位100%建设充电设施或预留安装条件，其中建成充电设施比例要不低于10%。提升城乡地区充换电保障能力</w:t>
      </w:r>
      <w:r>
        <w:rPr>
          <w:rFonts w:hint="eastAsia"/>
        </w:rPr>
        <w:t>，</w:t>
      </w:r>
      <w:r>
        <w:t>基本实现重点城市城区内充电服务半径小于4公里、其他城市7公里</w:t>
      </w:r>
      <w:r>
        <w:rPr>
          <w:rFonts w:hint="eastAsia"/>
        </w:rPr>
        <w:t>，</w:t>
      </w:r>
      <w:r>
        <w:t>人口较密集的郊区及县城内充电服务半径小于10公里。</w:t>
      </w:r>
    </w:p>
    <w:p>
      <w:pPr>
        <w:spacing w:line="360" w:lineRule="auto"/>
        <w:ind w:firstLine="562" w:firstLineChars="200"/>
        <w:rPr>
          <w:rFonts w:hint="eastAsia"/>
        </w:rPr>
      </w:pPr>
      <w:r>
        <w:rPr>
          <w:rFonts w:hint="eastAsia"/>
          <w:b/>
          <w:bCs/>
        </w:rPr>
        <w:t>辽宁省交通运输厅《关于加快推进交通运输领域充电基础设施建设和新能源汽车推广应用的实施意见》（辽交服务〔2023〕286号），</w:t>
      </w:r>
      <w:r>
        <w:rPr>
          <w:rFonts w:hint="eastAsia"/>
        </w:rPr>
        <w:t>意见提出，到2025年，基本建成覆盖广泛、规模适度、结构合理、功能完善的高质量充电基础设施体系，高速公路服务区100%具备充电服务功能，充电桩运行数据实现联网共享，为新能源汽车出行提供“随手查”服务；具备条件的普通国省干线公路服务区（站）、公交场站、客运场站等配建充电设施，并为社会车辆提供充电服务。到2025年，现存汽柴油城市公交车退出常态化运营，新能源城市公交车总数占比达72%以上，新增或更新巡游出租汽车新能源汽车占比达35%。</w:t>
      </w:r>
    </w:p>
    <w:p>
      <w:pPr>
        <w:spacing w:line="360" w:lineRule="auto"/>
        <w:ind w:firstLine="560" w:firstLineChars="200"/>
        <w:rPr>
          <w:rFonts w:hint="eastAsia"/>
        </w:rPr>
      </w:pPr>
      <w:r>
        <w:rPr>
          <w:rFonts w:hint="eastAsia"/>
        </w:rPr>
        <w:t>结合国务院关于扎实稳住经济政策措施部署要求，制定加快推进公路沿线充电基础设施建设的具体实施方案和技术指南，按照“桩站先行、以供促需，因地制宜、分类推进，广泛覆盖、适度超前，通用开放、智能高效”的原则，加快推进公路沿线充电基础设施建设，努力形成“固定设施为主体，移动设施为补充，重要节点全覆盖，运行维护服务好，群众出行有保障”的充电基础设施网络，有效满足电动汽车充电需求，服务公众便捷出行，助力电动汽车产业高质量发展。</w:t>
      </w:r>
    </w:p>
    <w:p>
      <w:pPr>
        <w:pStyle w:val="3"/>
      </w:pPr>
      <w:bookmarkStart w:id="44" w:name="_Toc5760"/>
      <w:r>
        <w:rPr>
          <w:color w:val="000000" w:themeColor="text1"/>
          <w14:textFill>
            <w14:solidFill>
              <w14:schemeClr w14:val="tx1"/>
            </w14:solidFill>
          </w14:textFill>
        </w:rPr>
        <w:t>汽车与电动汽车</w:t>
      </w:r>
      <w:r>
        <w:rPr>
          <w:rFonts w:hint="eastAsia"/>
          <w:color w:val="000000" w:themeColor="text1"/>
          <w14:textFill>
            <w14:solidFill>
              <w14:schemeClr w14:val="tx1"/>
            </w14:solidFill>
          </w14:textFill>
        </w:rPr>
        <w:t>现状</w:t>
      </w:r>
      <w:bookmarkEnd w:id="43"/>
      <w:bookmarkEnd w:id="44"/>
    </w:p>
    <w:p>
      <w:pPr>
        <w:spacing w:line="360" w:lineRule="auto"/>
        <w:ind w:firstLine="560" w:firstLineChars="200"/>
        <w:rPr>
          <w:rFonts w:hint="eastAsia"/>
        </w:rPr>
      </w:pPr>
      <w:r>
        <w:rPr>
          <w:rFonts w:hint="eastAsia"/>
        </w:rPr>
        <w:t>截至2023年底，桓仁满族自治县共有汽车</w:t>
      </w:r>
      <w:r>
        <w:t>5</w:t>
      </w:r>
      <w:r>
        <w:rPr>
          <w:rFonts w:hint="eastAsia"/>
        </w:rPr>
        <w:t>6880辆，其中私家车40734辆，占比</w:t>
      </w:r>
      <w:r>
        <w:t>7</w:t>
      </w:r>
      <w:r>
        <w:rPr>
          <w:rFonts w:hint="eastAsia"/>
        </w:rPr>
        <w:t>1.61%；出租车</w:t>
      </w:r>
      <w:r>
        <w:t>81</w:t>
      </w:r>
      <w:r>
        <w:rPr>
          <w:rFonts w:hint="eastAsia"/>
        </w:rPr>
        <w:t>4辆，占比</w:t>
      </w:r>
      <w:r>
        <w:t>1.</w:t>
      </w:r>
      <w:r>
        <w:rPr>
          <w:rFonts w:hint="eastAsia"/>
        </w:rPr>
        <w:t>43%；物流车7296辆，占比</w:t>
      </w:r>
      <w:r>
        <w:t>12.8</w:t>
      </w:r>
      <w:r>
        <w:rPr>
          <w:rFonts w:hint="eastAsia"/>
        </w:rPr>
        <w:t>3%。各类型机动车历史年保有量见下表：</w:t>
      </w:r>
    </w:p>
    <w:p>
      <w:pPr>
        <w:pStyle w:val="7"/>
      </w:pPr>
      <w:bookmarkStart w:id="45" w:name="_Toc94186579"/>
      <w:r>
        <w:rPr>
          <w:rFonts w:hint="eastAsia"/>
        </w:rPr>
        <w:t>桓仁满族自治县汽车历史年保有量单位：辆</w:t>
      </w: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1263"/>
        <w:gridCol w:w="789"/>
        <w:gridCol w:w="789"/>
        <w:gridCol w:w="789"/>
        <w:gridCol w:w="789"/>
        <w:gridCol w:w="789"/>
        <w:gridCol w:w="789"/>
        <w:gridCol w:w="789"/>
        <w:gridCol w:w="792"/>
        <w:gridCol w:w="78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755" w:type="pct"/>
            <w:shd w:val="clear" w:color="auto" w:fill="D9D9D9"/>
            <w:vAlign w:val="center"/>
          </w:tcPr>
          <w:p>
            <w:pPr>
              <w:spacing w:line="240" w:lineRule="auto"/>
              <w:jc w:val="center"/>
              <w:rPr>
                <w:rFonts w:hint="eastAsia"/>
                <w:b/>
                <w:sz w:val="19"/>
              </w:rPr>
            </w:pPr>
            <w:r>
              <w:rPr>
                <w:rFonts w:hint="eastAsia"/>
                <w:b/>
                <w:sz w:val="19"/>
              </w:rPr>
              <w:t>类型</w:t>
            </w:r>
          </w:p>
        </w:tc>
        <w:tc>
          <w:tcPr>
            <w:tcW w:w="472" w:type="pct"/>
            <w:shd w:val="clear" w:color="auto" w:fill="D9D9D9"/>
            <w:vAlign w:val="center"/>
          </w:tcPr>
          <w:p>
            <w:pPr>
              <w:spacing w:line="240" w:lineRule="auto"/>
              <w:jc w:val="center"/>
              <w:rPr>
                <w:rFonts w:hint="eastAsia"/>
                <w:b/>
                <w:sz w:val="19"/>
              </w:rPr>
            </w:pPr>
            <w:r>
              <w:rPr>
                <w:rFonts w:hint="eastAsia"/>
                <w:b/>
                <w:sz w:val="19"/>
              </w:rPr>
              <w:t>2015年</w:t>
            </w:r>
          </w:p>
        </w:tc>
        <w:tc>
          <w:tcPr>
            <w:tcW w:w="472" w:type="pct"/>
            <w:shd w:val="clear" w:color="auto" w:fill="D9D9D9"/>
            <w:vAlign w:val="center"/>
          </w:tcPr>
          <w:p>
            <w:pPr>
              <w:spacing w:line="240" w:lineRule="auto"/>
              <w:jc w:val="center"/>
              <w:rPr>
                <w:rFonts w:hint="eastAsia"/>
                <w:b/>
                <w:sz w:val="19"/>
              </w:rPr>
            </w:pPr>
            <w:r>
              <w:rPr>
                <w:rFonts w:hint="eastAsia"/>
                <w:b/>
                <w:sz w:val="19"/>
              </w:rPr>
              <w:t>2016年</w:t>
            </w:r>
          </w:p>
        </w:tc>
        <w:tc>
          <w:tcPr>
            <w:tcW w:w="472" w:type="pct"/>
            <w:shd w:val="clear" w:color="auto" w:fill="D9D9D9"/>
            <w:vAlign w:val="center"/>
          </w:tcPr>
          <w:p>
            <w:pPr>
              <w:spacing w:line="240" w:lineRule="auto"/>
              <w:jc w:val="center"/>
              <w:rPr>
                <w:rFonts w:hint="eastAsia"/>
                <w:b/>
                <w:sz w:val="19"/>
              </w:rPr>
            </w:pPr>
            <w:r>
              <w:rPr>
                <w:rFonts w:hint="eastAsia"/>
                <w:b/>
                <w:sz w:val="19"/>
              </w:rPr>
              <w:t>2017年</w:t>
            </w:r>
          </w:p>
        </w:tc>
        <w:tc>
          <w:tcPr>
            <w:tcW w:w="472" w:type="pct"/>
            <w:shd w:val="clear" w:color="auto" w:fill="D9D9D9"/>
            <w:vAlign w:val="center"/>
          </w:tcPr>
          <w:p>
            <w:pPr>
              <w:spacing w:line="240" w:lineRule="auto"/>
              <w:jc w:val="center"/>
              <w:rPr>
                <w:rFonts w:hint="eastAsia"/>
                <w:b/>
                <w:sz w:val="19"/>
              </w:rPr>
            </w:pPr>
            <w:r>
              <w:rPr>
                <w:rFonts w:hint="eastAsia"/>
                <w:b/>
                <w:sz w:val="19"/>
              </w:rPr>
              <w:t>2018年</w:t>
            </w:r>
          </w:p>
        </w:tc>
        <w:tc>
          <w:tcPr>
            <w:tcW w:w="472" w:type="pct"/>
            <w:shd w:val="clear" w:color="auto" w:fill="D9D9D9"/>
            <w:vAlign w:val="center"/>
          </w:tcPr>
          <w:p>
            <w:pPr>
              <w:spacing w:line="240" w:lineRule="auto"/>
              <w:jc w:val="center"/>
              <w:rPr>
                <w:rFonts w:hint="eastAsia"/>
                <w:b/>
                <w:sz w:val="19"/>
              </w:rPr>
            </w:pPr>
            <w:r>
              <w:rPr>
                <w:rFonts w:hint="eastAsia"/>
                <w:b/>
                <w:sz w:val="19"/>
              </w:rPr>
              <w:t>2019年</w:t>
            </w:r>
          </w:p>
        </w:tc>
        <w:tc>
          <w:tcPr>
            <w:tcW w:w="472" w:type="pct"/>
            <w:shd w:val="clear" w:color="auto" w:fill="D9D9D9"/>
            <w:vAlign w:val="center"/>
          </w:tcPr>
          <w:p>
            <w:pPr>
              <w:spacing w:line="240" w:lineRule="auto"/>
              <w:jc w:val="center"/>
              <w:rPr>
                <w:rFonts w:hint="eastAsia"/>
                <w:b/>
                <w:sz w:val="19"/>
              </w:rPr>
            </w:pPr>
            <w:r>
              <w:rPr>
                <w:rFonts w:hint="eastAsia"/>
                <w:b/>
                <w:sz w:val="19"/>
              </w:rPr>
              <w:t>2020年</w:t>
            </w:r>
          </w:p>
        </w:tc>
        <w:tc>
          <w:tcPr>
            <w:tcW w:w="472" w:type="pct"/>
            <w:shd w:val="clear" w:color="auto" w:fill="D9D9D9"/>
            <w:vAlign w:val="center"/>
          </w:tcPr>
          <w:p>
            <w:pPr>
              <w:spacing w:line="240" w:lineRule="auto"/>
              <w:jc w:val="center"/>
              <w:rPr>
                <w:rFonts w:hint="eastAsia"/>
                <w:b/>
                <w:sz w:val="19"/>
              </w:rPr>
            </w:pPr>
            <w:r>
              <w:rPr>
                <w:rFonts w:hint="eastAsia"/>
                <w:b/>
                <w:sz w:val="19"/>
              </w:rPr>
              <w:t>2021年</w:t>
            </w:r>
          </w:p>
        </w:tc>
        <w:tc>
          <w:tcPr>
            <w:tcW w:w="473" w:type="pct"/>
            <w:shd w:val="clear" w:color="auto" w:fill="D9D9D9"/>
            <w:vAlign w:val="center"/>
          </w:tcPr>
          <w:p>
            <w:pPr>
              <w:spacing w:line="240" w:lineRule="auto"/>
              <w:jc w:val="center"/>
              <w:rPr>
                <w:rFonts w:hint="eastAsia"/>
                <w:b/>
                <w:sz w:val="19"/>
              </w:rPr>
            </w:pPr>
            <w:r>
              <w:rPr>
                <w:rFonts w:hint="eastAsia"/>
                <w:b/>
                <w:sz w:val="19"/>
              </w:rPr>
              <w:t>2022年</w:t>
            </w:r>
          </w:p>
        </w:tc>
        <w:tc>
          <w:tcPr>
            <w:tcW w:w="469" w:type="pct"/>
            <w:shd w:val="clear" w:color="auto" w:fill="D9D9D9"/>
          </w:tcPr>
          <w:p>
            <w:pPr>
              <w:spacing w:line="240" w:lineRule="auto"/>
              <w:jc w:val="center"/>
              <w:rPr>
                <w:rFonts w:hint="eastAsia"/>
                <w:b/>
                <w:sz w:val="19"/>
              </w:rPr>
            </w:pPr>
            <w:r>
              <w:rPr>
                <w:rFonts w:hint="eastAsia"/>
                <w:b/>
                <w:sz w:val="19"/>
              </w:rPr>
              <w:t>2023年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755" w:type="pct"/>
            <w:shd w:val="clear" w:color="auto" w:fill="auto"/>
            <w:vAlign w:val="center"/>
          </w:tcPr>
          <w:p>
            <w:pPr>
              <w:spacing w:line="240" w:lineRule="auto"/>
              <w:jc w:val="center"/>
              <w:rPr>
                <w:rFonts w:hint="eastAsia"/>
                <w:sz w:val="19"/>
              </w:rPr>
            </w:pPr>
            <w:r>
              <w:rPr>
                <w:rFonts w:hint="eastAsia"/>
                <w:sz w:val="19"/>
              </w:rPr>
              <w:t>私家车</w:t>
            </w:r>
          </w:p>
        </w:tc>
        <w:tc>
          <w:tcPr>
            <w:tcW w:w="472" w:type="pct"/>
            <w:shd w:val="clear" w:color="auto" w:fill="auto"/>
            <w:noWrap/>
            <w:vAlign w:val="center"/>
          </w:tcPr>
          <w:p>
            <w:pPr>
              <w:spacing w:line="240" w:lineRule="auto"/>
              <w:jc w:val="center"/>
              <w:rPr>
                <w:rFonts w:hint="eastAsia"/>
                <w:sz w:val="19"/>
              </w:rPr>
            </w:pPr>
            <w:r>
              <w:rPr>
                <w:rFonts w:hint="eastAsia"/>
                <w:sz w:val="19"/>
              </w:rPr>
              <w:t>18569</w:t>
            </w:r>
          </w:p>
        </w:tc>
        <w:tc>
          <w:tcPr>
            <w:tcW w:w="472" w:type="pct"/>
            <w:shd w:val="clear" w:color="auto" w:fill="auto"/>
            <w:noWrap/>
            <w:vAlign w:val="center"/>
          </w:tcPr>
          <w:p>
            <w:pPr>
              <w:spacing w:line="240" w:lineRule="auto"/>
              <w:jc w:val="center"/>
              <w:rPr>
                <w:rFonts w:hint="eastAsia"/>
                <w:sz w:val="19"/>
              </w:rPr>
            </w:pPr>
            <w:r>
              <w:rPr>
                <w:rFonts w:hint="eastAsia"/>
                <w:sz w:val="19"/>
              </w:rPr>
              <w:t>21636</w:t>
            </w:r>
          </w:p>
        </w:tc>
        <w:tc>
          <w:tcPr>
            <w:tcW w:w="472" w:type="pct"/>
            <w:shd w:val="clear" w:color="auto" w:fill="auto"/>
            <w:noWrap/>
            <w:vAlign w:val="center"/>
          </w:tcPr>
          <w:p>
            <w:pPr>
              <w:spacing w:line="240" w:lineRule="auto"/>
              <w:jc w:val="center"/>
              <w:rPr>
                <w:rFonts w:hint="eastAsia"/>
                <w:sz w:val="19"/>
              </w:rPr>
            </w:pPr>
            <w:r>
              <w:rPr>
                <w:rFonts w:hint="eastAsia"/>
                <w:sz w:val="19"/>
              </w:rPr>
              <w:t>23492</w:t>
            </w:r>
          </w:p>
        </w:tc>
        <w:tc>
          <w:tcPr>
            <w:tcW w:w="472" w:type="pct"/>
            <w:shd w:val="clear" w:color="auto" w:fill="auto"/>
            <w:noWrap/>
            <w:vAlign w:val="center"/>
          </w:tcPr>
          <w:p>
            <w:pPr>
              <w:spacing w:line="240" w:lineRule="auto"/>
              <w:jc w:val="center"/>
              <w:rPr>
                <w:rFonts w:hint="eastAsia"/>
                <w:sz w:val="19"/>
              </w:rPr>
            </w:pPr>
            <w:r>
              <w:rPr>
                <w:rFonts w:hint="eastAsia"/>
                <w:sz w:val="19"/>
              </w:rPr>
              <w:t>25881</w:t>
            </w:r>
          </w:p>
        </w:tc>
        <w:tc>
          <w:tcPr>
            <w:tcW w:w="472" w:type="pct"/>
            <w:shd w:val="clear" w:color="auto" w:fill="auto"/>
            <w:noWrap/>
            <w:vAlign w:val="center"/>
          </w:tcPr>
          <w:p>
            <w:pPr>
              <w:spacing w:line="240" w:lineRule="auto"/>
              <w:jc w:val="center"/>
              <w:rPr>
                <w:rFonts w:hint="eastAsia"/>
                <w:sz w:val="19"/>
              </w:rPr>
            </w:pPr>
            <w:r>
              <w:rPr>
                <w:rFonts w:hint="eastAsia"/>
                <w:sz w:val="19"/>
              </w:rPr>
              <w:t>25827</w:t>
            </w:r>
          </w:p>
        </w:tc>
        <w:tc>
          <w:tcPr>
            <w:tcW w:w="472" w:type="pct"/>
            <w:shd w:val="clear" w:color="auto" w:fill="auto"/>
            <w:noWrap/>
            <w:vAlign w:val="center"/>
          </w:tcPr>
          <w:p>
            <w:pPr>
              <w:spacing w:line="240" w:lineRule="auto"/>
              <w:jc w:val="center"/>
              <w:rPr>
                <w:rFonts w:hint="eastAsia"/>
                <w:sz w:val="19"/>
              </w:rPr>
            </w:pPr>
            <w:r>
              <w:rPr>
                <w:rFonts w:hint="eastAsia"/>
                <w:sz w:val="19"/>
              </w:rPr>
              <w:t>31440</w:t>
            </w:r>
          </w:p>
        </w:tc>
        <w:tc>
          <w:tcPr>
            <w:tcW w:w="472" w:type="pct"/>
            <w:shd w:val="clear" w:color="auto" w:fill="auto"/>
            <w:noWrap/>
            <w:vAlign w:val="center"/>
          </w:tcPr>
          <w:p>
            <w:pPr>
              <w:spacing w:line="240" w:lineRule="auto"/>
              <w:jc w:val="center"/>
              <w:rPr>
                <w:rFonts w:hint="eastAsia"/>
                <w:sz w:val="19"/>
              </w:rPr>
            </w:pPr>
            <w:r>
              <w:rPr>
                <w:rFonts w:hint="eastAsia"/>
                <w:sz w:val="19"/>
              </w:rPr>
              <w:t>34988</w:t>
            </w:r>
          </w:p>
        </w:tc>
        <w:tc>
          <w:tcPr>
            <w:tcW w:w="473" w:type="pct"/>
            <w:shd w:val="clear" w:color="auto" w:fill="auto"/>
            <w:noWrap/>
            <w:vAlign w:val="center"/>
          </w:tcPr>
          <w:p>
            <w:pPr>
              <w:spacing w:line="240" w:lineRule="auto"/>
              <w:jc w:val="center"/>
              <w:rPr>
                <w:rFonts w:hint="eastAsia"/>
                <w:sz w:val="19"/>
              </w:rPr>
            </w:pPr>
            <w:r>
              <w:rPr>
                <w:rFonts w:hint="eastAsia"/>
                <w:sz w:val="19"/>
              </w:rPr>
              <w:t>37987</w:t>
            </w:r>
          </w:p>
        </w:tc>
        <w:tc>
          <w:tcPr>
            <w:tcW w:w="469" w:type="pct"/>
            <w:vAlign w:val="center"/>
          </w:tcPr>
          <w:p>
            <w:pPr>
              <w:spacing w:line="240" w:lineRule="auto"/>
              <w:jc w:val="center"/>
              <w:rPr>
                <w:rFonts w:hint="eastAsia"/>
                <w:sz w:val="19"/>
              </w:rPr>
            </w:pPr>
            <w:r>
              <w:rPr>
                <w:sz w:val="19"/>
              </w:rPr>
              <w:t>40734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755" w:type="pct"/>
            <w:shd w:val="clear" w:color="auto" w:fill="auto"/>
            <w:vAlign w:val="center"/>
          </w:tcPr>
          <w:p>
            <w:pPr>
              <w:spacing w:line="240" w:lineRule="auto"/>
              <w:jc w:val="center"/>
              <w:rPr>
                <w:rFonts w:hint="eastAsia"/>
                <w:sz w:val="19"/>
              </w:rPr>
            </w:pPr>
            <w:r>
              <w:rPr>
                <w:rFonts w:hint="eastAsia"/>
                <w:sz w:val="19"/>
              </w:rPr>
              <w:t>网约车</w:t>
            </w:r>
          </w:p>
        </w:tc>
        <w:tc>
          <w:tcPr>
            <w:tcW w:w="472" w:type="pct"/>
            <w:shd w:val="clear" w:color="auto" w:fill="auto"/>
            <w:noWrap/>
            <w:vAlign w:val="center"/>
          </w:tcPr>
          <w:p>
            <w:pPr>
              <w:spacing w:line="240" w:lineRule="auto"/>
              <w:jc w:val="center"/>
              <w:rPr>
                <w:rFonts w:hint="eastAsia"/>
                <w:sz w:val="19"/>
              </w:rPr>
            </w:pPr>
            <w:r>
              <w:rPr>
                <w:rFonts w:hint="eastAsia"/>
                <w:sz w:val="19"/>
              </w:rPr>
              <w:t>0</w:t>
            </w:r>
          </w:p>
        </w:tc>
        <w:tc>
          <w:tcPr>
            <w:tcW w:w="472" w:type="pct"/>
            <w:shd w:val="clear" w:color="auto" w:fill="auto"/>
            <w:noWrap/>
            <w:vAlign w:val="center"/>
          </w:tcPr>
          <w:p>
            <w:pPr>
              <w:spacing w:line="240" w:lineRule="auto"/>
              <w:jc w:val="center"/>
              <w:rPr>
                <w:rFonts w:hint="eastAsia"/>
                <w:sz w:val="19"/>
              </w:rPr>
            </w:pPr>
            <w:r>
              <w:rPr>
                <w:rFonts w:hint="eastAsia"/>
                <w:sz w:val="19"/>
              </w:rPr>
              <w:t>0</w:t>
            </w:r>
          </w:p>
        </w:tc>
        <w:tc>
          <w:tcPr>
            <w:tcW w:w="472" w:type="pct"/>
            <w:shd w:val="clear" w:color="auto" w:fill="auto"/>
            <w:noWrap/>
            <w:vAlign w:val="center"/>
          </w:tcPr>
          <w:p>
            <w:pPr>
              <w:spacing w:line="240" w:lineRule="auto"/>
              <w:jc w:val="center"/>
              <w:rPr>
                <w:rFonts w:hint="eastAsia"/>
                <w:sz w:val="19"/>
              </w:rPr>
            </w:pPr>
            <w:r>
              <w:rPr>
                <w:rFonts w:hint="eastAsia"/>
                <w:sz w:val="19"/>
              </w:rPr>
              <w:t>0</w:t>
            </w:r>
          </w:p>
        </w:tc>
        <w:tc>
          <w:tcPr>
            <w:tcW w:w="472" w:type="pct"/>
            <w:shd w:val="clear" w:color="auto" w:fill="auto"/>
            <w:noWrap/>
            <w:vAlign w:val="center"/>
          </w:tcPr>
          <w:p>
            <w:pPr>
              <w:spacing w:line="240" w:lineRule="auto"/>
              <w:jc w:val="center"/>
              <w:rPr>
                <w:rFonts w:hint="eastAsia"/>
                <w:sz w:val="19"/>
              </w:rPr>
            </w:pPr>
            <w:r>
              <w:rPr>
                <w:rFonts w:hint="eastAsia"/>
                <w:sz w:val="19"/>
              </w:rPr>
              <w:t>0</w:t>
            </w:r>
          </w:p>
        </w:tc>
        <w:tc>
          <w:tcPr>
            <w:tcW w:w="472" w:type="pct"/>
            <w:shd w:val="clear" w:color="auto" w:fill="auto"/>
            <w:noWrap/>
            <w:vAlign w:val="center"/>
          </w:tcPr>
          <w:p>
            <w:pPr>
              <w:spacing w:line="240" w:lineRule="auto"/>
              <w:jc w:val="center"/>
              <w:rPr>
                <w:rFonts w:hint="eastAsia"/>
                <w:sz w:val="19"/>
              </w:rPr>
            </w:pPr>
            <w:r>
              <w:rPr>
                <w:rFonts w:hint="eastAsia"/>
                <w:sz w:val="19"/>
              </w:rPr>
              <w:t>0</w:t>
            </w:r>
          </w:p>
        </w:tc>
        <w:tc>
          <w:tcPr>
            <w:tcW w:w="472" w:type="pct"/>
            <w:shd w:val="clear" w:color="auto" w:fill="auto"/>
            <w:noWrap/>
            <w:vAlign w:val="center"/>
          </w:tcPr>
          <w:p>
            <w:pPr>
              <w:spacing w:line="240" w:lineRule="auto"/>
              <w:jc w:val="center"/>
              <w:rPr>
                <w:rFonts w:hint="eastAsia"/>
                <w:sz w:val="19"/>
              </w:rPr>
            </w:pPr>
            <w:r>
              <w:rPr>
                <w:rFonts w:hint="eastAsia"/>
                <w:sz w:val="19"/>
              </w:rPr>
              <w:t>0</w:t>
            </w:r>
          </w:p>
        </w:tc>
        <w:tc>
          <w:tcPr>
            <w:tcW w:w="472" w:type="pct"/>
            <w:shd w:val="clear" w:color="auto" w:fill="auto"/>
            <w:noWrap/>
            <w:vAlign w:val="center"/>
          </w:tcPr>
          <w:p>
            <w:pPr>
              <w:spacing w:line="240" w:lineRule="auto"/>
              <w:jc w:val="center"/>
              <w:rPr>
                <w:rFonts w:hint="eastAsia"/>
                <w:sz w:val="19"/>
              </w:rPr>
            </w:pPr>
            <w:r>
              <w:rPr>
                <w:rFonts w:hint="eastAsia"/>
                <w:sz w:val="19"/>
              </w:rPr>
              <w:t>0</w:t>
            </w:r>
          </w:p>
        </w:tc>
        <w:tc>
          <w:tcPr>
            <w:tcW w:w="473" w:type="pct"/>
            <w:shd w:val="clear" w:color="auto" w:fill="auto"/>
            <w:noWrap/>
            <w:vAlign w:val="center"/>
          </w:tcPr>
          <w:p>
            <w:pPr>
              <w:spacing w:line="240" w:lineRule="auto"/>
              <w:jc w:val="center"/>
              <w:rPr>
                <w:rFonts w:hint="eastAsia"/>
                <w:sz w:val="19"/>
              </w:rPr>
            </w:pPr>
            <w:r>
              <w:rPr>
                <w:rFonts w:hint="eastAsia"/>
                <w:sz w:val="19"/>
              </w:rPr>
              <w:t>0</w:t>
            </w:r>
          </w:p>
        </w:tc>
        <w:tc>
          <w:tcPr>
            <w:tcW w:w="469" w:type="pct"/>
            <w:vAlign w:val="center"/>
          </w:tcPr>
          <w:p>
            <w:pPr>
              <w:spacing w:line="240" w:lineRule="auto"/>
              <w:jc w:val="center"/>
              <w:rPr>
                <w:rFonts w:hint="eastAsia"/>
                <w:sz w:val="19"/>
              </w:rPr>
            </w:pPr>
            <w:r>
              <w:rPr>
                <w:rFonts w:hint="eastAsia"/>
                <w:sz w:val="19"/>
              </w:rPr>
              <w:t xml:space="preserve">0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755" w:type="pct"/>
            <w:shd w:val="clear" w:color="auto" w:fill="auto"/>
            <w:vAlign w:val="center"/>
          </w:tcPr>
          <w:p>
            <w:pPr>
              <w:spacing w:line="240" w:lineRule="auto"/>
              <w:jc w:val="center"/>
              <w:rPr>
                <w:rFonts w:hint="eastAsia"/>
                <w:sz w:val="19"/>
              </w:rPr>
            </w:pPr>
            <w:r>
              <w:rPr>
                <w:rFonts w:hint="eastAsia"/>
                <w:sz w:val="19"/>
              </w:rPr>
              <w:t>租赁车</w:t>
            </w:r>
          </w:p>
        </w:tc>
        <w:tc>
          <w:tcPr>
            <w:tcW w:w="472" w:type="pct"/>
            <w:shd w:val="clear" w:color="auto" w:fill="auto"/>
            <w:noWrap/>
            <w:vAlign w:val="center"/>
          </w:tcPr>
          <w:p>
            <w:pPr>
              <w:spacing w:line="240" w:lineRule="auto"/>
              <w:jc w:val="center"/>
              <w:rPr>
                <w:rFonts w:hint="eastAsia"/>
                <w:sz w:val="19"/>
              </w:rPr>
            </w:pPr>
            <w:r>
              <w:rPr>
                <w:rFonts w:hint="eastAsia"/>
                <w:sz w:val="19"/>
              </w:rPr>
              <w:t>43</w:t>
            </w:r>
          </w:p>
        </w:tc>
        <w:tc>
          <w:tcPr>
            <w:tcW w:w="472" w:type="pct"/>
            <w:shd w:val="clear" w:color="auto" w:fill="auto"/>
            <w:noWrap/>
            <w:vAlign w:val="center"/>
          </w:tcPr>
          <w:p>
            <w:pPr>
              <w:spacing w:line="240" w:lineRule="auto"/>
              <w:jc w:val="center"/>
              <w:rPr>
                <w:rFonts w:hint="eastAsia"/>
                <w:sz w:val="19"/>
              </w:rPr>
            </w:pPr>
            <w:r>
              <w:rPr>
                <w:rFonts w:hint="eastAsia"/>
                <w:sz w:val="19"/>
              </w:rPr>
              <w:t>43</w:t>
            </w:r>
          </w:p>
        </w:tc>
        <w:tc>
          <w:tcPr>
            <w:tcW w:w="472" w:type="pct"/>
            <w:shd w:val="clear" w:color="auto" w:fill="auto"/>
            <w:noWrap/>
            <w:vAlign w:val="center"/>
          </w:tcPr>
          <w:p>
            <w:pPr>
              <w:spacing w:line="240" w:lineRule="auto"/>
              <w:jc w:val="center"/>
              <w:rPr>
                <w:rFonts w:hint="eastAsia"/>
                <w:sz w:val="19"/>
              </w:rPr>
            </w:pPr>
            <w:r>
              <w:rPr>
                <w:rFonts w:hint="eastAsia"/>
                <w:sz w:val="19"/>
              </w:rPr>
              <w:t>41</w:t>
            </w:r>
          </w:p>
        </w:tc>
        <w:tc>
          <w:tcPr>
            <w:tcW w:w="472" w:type="pct"/>
            <w:shd w:val="clear" w:color="auto" w:fill="auto"/>
            <w:noWrap/>
            <w:vAlign w:val="center"/>
          </w:tcPr>
          <w:p>
            <w:pPr>
              <w:spacing w:line="240" w:lineRule="auto"/>
              <w:jc w:val="center"/>
              <w:rPr>
                <w:rFonts w:hint="eastAsia"/>
                <w:sz w:val="19"/>
              </w:rPr>
            </w:pPr>
            <w:r>
              <w:rPr>
                <w:rFonts w:hint="eastAsia"/>
                <w:sz w:val="19"/>
              </w:rPr>
              <w:t>41</w:t>
            </w:r>
          </w:p>
        </w:tc>
        <w:tc>
          <w:tcPr>
            <w:tcW w:w="472" w:type="pct"/>
            <w:shd w:val="clear" w:color="auto" w:fill="auto"/>
            <w:noWrap/>
            <w:vAlign w:val="center"/>
          </w:tcPr>
          <w:p>
            <w:pPr>
              <w:spacing w:line="240" w:lineRule="auto"/>
              <w:jc w:val="center"/>
              <w:rPr>
                <w:rFonts w:hint="eastAsia"/>
                <w:sz w:val="19"/>
              </w:rPr>
            </w:pPr>
            <w:r>
              <w:rPr>
                <w:rFonts w:hint="eastAsia"/>
                <w:sz w:val="19"/>
              </w:rPr>
              <w:t>40</w:t>
            </w:r>
          </w:p>
        </w:tc>
        <w:tc>
          <w:tcPr>
            <w:tcW w:w="472" w:type="pct"/>
            <w:shd w:val="clear" w:color="auto" w:fill="auto"/>
            <w:noWrap/>
            <w:vAlign w:val="center"/>
          </w:tcPr>
          <w:p>
            <w:pPr>
              <w:spacing w:line="240" w:lineRule="auto"/>
              <w:jc w:val="center"/>
              <w:rPr>
                <w:rFonts w:hint="eastAsia"/>
                <w:sz w:val="19"/>
              </w:rPr>
            </w:pPr>
            <w:r>
              <w:rPr>
                <w:rFonts w:hint="eastAsia"/>
                <w:sz w:val="19"/>
              </w:rPr>
              <w:t>38</w:t>
            </w:r>
          </w:p>
        </w:tc>
        <w:tc>
          <w:tcPr>
            <w:tcW w:w="472" w:type="pct"/>
            <w:shd w:val="clear" w:color="auto" w:fill="auto"/>
            <w:noWrap/>
            <w:vAlign w:val="center"/>
          </w:tcPr>
          <w:p>
            <w:pPr>
              <w:spacing w:line="240" w:lineRule="auto"/>
              <w:jc w:val="center"/>
              <w:rPr>
                <w:rFonts w:hint="eastAsia"/>
                <w:sz w:val="19"/>
              </w:rPr>
            </w:pPr>
            <w:r>
              <w:rPr>
                <w:rFonts w:hint="eastAsia"/>
                <w:sz w:val="19"/>
              </w:rPr>
              <w:t>38</w:t>
            </w:r>
          </w:p>
        </w:tc>
        <w:tc>
          <w:tcPr>
            <w:tcW w:w="473" w:type="pct"/>
            <w:shd w:val="clear" w:color="auto" w:fill="auto"/>
            <w:noWrap/>
            <w:vAlign w:val="center"/>
          </w:tcPr>
          <w:p>
            <w:pPr>
              <w:spacing w:line="240" w:lineRule="auto"/>
              <w:jc w:val="center"/>
              <w:rPr>
                <w:rFonts w:hint="eastAsia"/>
                <w:sz w:val="19"/>
              </w:rPr>
            </w:pPr>
            <w:r>
              <w:rPr>
                <w:rFonts w:hint="eastAsia"/>
                <w:sz w:val="19"/>
              </w:rPr>
              <w:t>37</w:t>
            </w:r>
          </w:p>
        </w:tc>
        <w:tc>
          <w:tcPr>
            <w:tcW w:w="469" w:type="pct"/>
            <w:vAlign w:val="center"/>
          </w:tcPr>
          <w:p>
            <w:pPr>
              <w:spacing w:line="240" w:lineRule="auto"/>
              <w:jc w:val="center"/>
              <w:rPr>
                <w:rFonts w:hint="eastAsia"/>
                <w:sz w:val="19"/>
              </w:rPr>
            </w:pPr>
            <w:r>
              <w:rPr>
                <w:rFonts w:hint="eastAsia"/>
                <w:sz w:val="19"/>
              </w:rPr>
              <w:t xml:space="preserve">36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755" w:type="pct"/>
            <w:shd w:val="clear" w:color="auto" w:fill="auto"/>
            <w:vAlign w:val="center"/>
          </w:tcPr>
          <w:p>
            <w:pPr>
              <w:spacing w:line="240" w:lineRule="auto"/>
              <w:jc w:val="center"/>
              <w:rPr>
                <w:rFonts w:hint="eastAsia"/>
                <w:sz w:val="19"/>
              </w:rPr>
            </w:pPr>
            <w:r>
              <w:rPr>
                <w:rFonts w:hint="eastAsia"/>
                <w:sz w:val="19"/>
              </w:rPr>
              <w:t>公交车</w:t>
            </w:r>
          </w:p>
        </w:tc>
        <w:tc>
          <w:tcPr>
            <w:tcW w:w="472" w:type="pct"/>
            <w:shd w:val="clear" w:color="auto" w:fill="auto"/>
            <w:noWrap/>
            <w:vAlign w:val="center"/>
          </w:tcPr>
          <w:p>
            <w:pPr>
              <w:spacing w:line="240" w:lineRule="auto"/>
              <w:jc w:val="center"/>
              <w:rPr>
                <w:rFonts w:hint="eastAsia"/>
                <w:sz w:val="19"/>
              </w:rPr>
            </w:pPr>
            <w:r>
              <w:rPr>
                <w:rFonts w:hint="eastAsia"/>
                <w:sz w:val="19"/>
              </w:rPr>
              <w:t>91</w:t>
            </w:r>
          </w:p>
        </w:tc>
        <w:tc>
          <w:tcPr>
            <w:tcW w:w="472" w:type="pct"/>
            <w:shd w:val="clear" w:color="auto" w:fill="auto"/>
            <w:noWrap/>
            <w:vAlign w:val="center"/>
          </w:tcPr>
          <w:p>
            <w:pPr>
              <w:spacing w:line="240" w:lineRule="auto"/>
              <w:jc w:val="center"/>
              <w:rPr>
                <w:rFonts w:hint="eastAsia"/>
                <w:sz w:val="19"/>
              </w:rPr>
            </w:pPr>
            <w:r>
              <w:rPr>
                <w:rFonts w:hint="eastAsia"/>
                <w:sz w:val="19"/>
              </w:rPr>
              <w:t>91</w:t>
            </w:r>
          </w:p>
        </w:tc>
        <w:tc>
          <w:tcPr>
            <w:tcW w:w="472" w:type="pct"/>
            <w:shd w:val="clear" w:color="auto" w:fill="auto"/>
            <w:noWrap/>
            <w:vAlign w:val="center"/>
          </w:tcPr>
          <w:p>
            <w:pPr>
              <w:spacing w:line="240" w:lineRule="auto"/>
              <w:jc w:val="center"/>
              <w:rPr>
                <w:rFonts w:hint="eastAsia"/>
                <w:sz w:val="19"/>
              </w:rPr>
            </w:pPr>
            <w:r>
              <w:rPr>
                <w:rFonts w:hint="eastAsia"/>
                <w:sz w:val="19"/>
              </w:rPr>
              <w:t>91</w:t>
            </w:r>
          </w:p>
        </w:tc>
        <w:tc>
          <w:tcPr>
            <w:tcW w:w="472" w:type="pct"/>
            <w:shd w:val="clear" w:color="auto" w:fill="auto"/>
            <w:noWrap/>
            <w:vAlign w:val="center"/>
          </w:tcPr>
          <w:p>
            <w:pPr>
              <w:spacing w:line="240" w:lineRule="auto"/>
              <w:jc w:val="center"/>
              <w:rPr>
                <w:rFonts w:hint="eastAsia"/>
                <w:sz w:val="19"/>
              </w:rPr>
            </w:pPr>
            <w:r>
              <w:rPr>
                <w:rFonts w:hint="eastAsia"/>
                <w:sz w:val="19"/>
              </w:rPr>
              <w:t>91</w:t>
            </w:r>
          </w:p>
        </w:tc>
        <w:tc>
          <w:tcPr>
            <w:tcW w:w="472" w:type="pct"/>
            <w:shd w:val="clear" w:color="auto" w:fill="auto"/>
            <w:noWrap/>
            <w:vAlign w:val="center"/>
          </w:tcPr>
          <w:p>
            <w:pPr>
              <w:spacing w:line="240" w:lineRule="auto"/>
              <w:jc w:val="center"/>
              <w:rPr>
                <w:rFonts w:hint="eastAsia"/>
                <w:sz w:val="19"/>
              </w:rPr>
            </w:pPr>
            <w:r>
              <w:rPr>
                <w:rFonts w:hint="eastAsia"/>
                <w:sz w:val="19"/>
              </w:rPr>
              <w:t>88</w:t>
            </w:r>
          </w:p>
        </w:tc>
        <w:tc>
          <w:tcPr>
            <w:tcW w:w="472" w:type="pct"/>
            <w:shd w:val="clear" w:color="auto" w:fill="auto"/>
            <w:noWrap/>
            <w:vAlign w:val="center"/>
          </w:tcPr>
          <w:p>
            <w:pPr>
              <w:spacing w:line="240" w:lineRule="auto"/>
              <w:jc w:val="center"/>
              <w:rPr>
                <w:rFonts w:hint="eastAsia"/>
                <w:sz w:val="19"/>
              </w:rPr>
            </w:pPr>
            <w:r>
              <w:rPr>
                <w:rFonts w:hint="eastAsia"/>
                <w:sz w:val="19"/>
              </w:rPr>
              <w:t>82</w:t>
            </w:r>
          </w:p>
        </w:tc>
        <w:tc>
          <w:tcPr>
            <w:tcW w:w="472" w:type="pct"/>
            <w:shd w:val="clear" w:color="auto" w:fill="auto"/>
            <w:noWrap/>
            <w:vAlign w:val="center"/>
          </w:tcPr>
          <w:p>
            <w:pPr>
              <w:spacing w:line="240" w:lineRule="auto"/>
              <w:jc w:val="center"/>
              <w:rPr>
                <w:rFonts w:hint="eastAsia"/>
                <w:sz w:val="19"/>
              </w:rPr>
            </w:pPr>
            <w:r>
              <w:rPr>
                <w:rFonts w:hint="eastAsia"/>
                <w:sz w:val="19"/>
              </w:rPr>
              <w:t>75</w:t>
            </w:r>
          </w:p>
        </w:tc>
        <w:tc>
          <w:tcPr>
            <w:tcW w:w="473" w:type="pct"/>
            <w:shd w:val="clear" w:color="auto" w:fill="auto"/>
            <w:noWrap/>
            <w:vAlign w:val="center"/>
          </w:tcPr>
          <w:p>
            <w:pPr>
              <w:spacing w:line="240" w:lineRule="auto"/>
              <w:jc w:val="center"/>
              <w:rPr>
                <w:rFonts w:hint="eastAsia"/>
                <w:sz w:val="19"/>
              </w:rPr>
            </w:pPr>
            <w:r>
              <w:rPr>
                <w:rFonts w:hint="eastAsia"/>
                <w:sz w:val="19"/>
              </w:rPr>
              <w:t>62</w:t>
            </w:r>
          </w:p>
        </w:tc>
        <w:tc>
          <w:tcPr>
            <w:tcW w:w="469" w:type="pct"/>
            <w:vAlign w:val="center"/>
          </w:tcPr>
          <w:p>
            <w:pPr>
              <w:spacing w:line="240" w:lineRule="auto"/>
              <w:jc w:val="center"/>
              <w:rPr>
                <w:rFonts w:hint="eastAsia"/>
                <w:sz w:val="19"/>
              </w:rPr>
            </w:pPr>
            <w:r>
              <w:rPr>
                <w:rFonts w:hint="eastAsia"/>
                <w:sz w:val="19"/>
              </w:rPr>
              <w:t xml:space="preserve">51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755" w:type="pct"/>
            <w:shd w:val="clear" w:color="auto" w:fill="auto"/>
            <w:vAlign w:val="center"/>
          </w:tcPr>
          <w:p>
            <w:pPr>
              <w:spacing w:line="240" w:lineRule="auto"/>
              <w:jc w:val="center"/>
              <w:rPr>
                <w:rFonts w:hint="eastAsia"/>
                <w:sz w:val="19"/>
              </w:rPr>
            </w:pPr>
            <w:r>
              <w:rPr>
                <w:rFonts w:hint="eastAsia"/>
                <w:sz w:val="19"/>
              </w:rPr>
              <w:t>环卫车</w:t>
            </w:r>
          </w:p>
        </w:tc>
        <w:tc>
          <w:tcPr>
            <w:tcW w:w="472" w:type="pct"/>
            <w:shd w:val="clear" w:color="auto" w:fill="auto"/>
            <w:noWrap/>
            <w:vAlign w:val="center"/>
          </w:tcPr>
          <w:p>
            <w:pPr>
              <w:spacing w:line="240" w:lineRule="auto"/>
              <w:jc w:val="center"/>
              <w:rPr>
                <w:rFonts w:hint="eastAsia"/>
                <w:sz w:val="19"/>
              </w:rPr>
            </w:pPr>
            <w:r>
              <w:rPr>
                <w:rFonts w:hint="eastAsia"/>
                <w:sz w:val="19"/>
              </w:rPr>
              <w:t>10</w:t>
            </w:r>
          </w:p>
        </w:tc>
        <w:tc>
          <w:tcPr>
            <w:tcW w:w="472" w:type="pct"/>
            <w:shd w:val="clear" w:color="auto" w:fill="auto"/>
            <w:noWrap/>
            <w:vAlign w:val="center"/>
          </w:tcPr>
          <w:p>
            <w:pPr>
              <w:spacing w:line="240" w:lineRule="auto"/>
              <w:jc w:val="center"/>
              <w:rPr>
                <w:rFonts w:hint="eastAsia"/>
                <w:sz w:val="19"/>
              </w:rPr>
            </w:pPr>
            <w:r>
              <w:rPr>
                <w:rFonts w:hint="eastAsia"/>
                <w:sz w:val="19"/>
              </w:rPr>
              <w:t>11</w:t>
            </w:r>
          </w:p>
        </w:tc>
        <w:tc>
          <w:tcPr>
            <w:tcW w:w="472" w:type="pct"/>
            <w:shd w:val="clear" w:color="auto" w:fill="auto"/>
            <w:noWrap/>
            <w:vAlign w:val="center"/>
          </w:tcPr>
          <w:p>
            <w:pPr>
              <w:spacing w:line="240" w:lineRule="auto"/>
              <w:jc w:val="center"/>
              <w:rPr>
                <w:rFonts w:hint="eastAsia"/>
                <w:sz w:val="19"/>
              </w:rPr>
            </w:pPr>
            <w:r>
              <w:rPr>
                <w:rFonts w:hint="eastAsia"/>
                <w:sz w:val="19"/>
              </w:rPr>
              <w:t>13</w:t>
            </w:r>
          </w:p>
        </w:tc>
        <w:tc>
          <w:tcPr>
            <w:tcW w:w="472" w:type="pct"/>
            <w:shd w:val="clear" w:color="auto" w:fill="auto"/>
            <w:noWrap/>
            <w:vAlign w:val="center"/>
          </w:tcPr>
          <w:p>
            <w:pPr>
              <w:spacing w:line="240" w:lineRule="auto"/>
              <w:jc w:val="center"/>
              <w:rPr>
                <w:rFonts w:hint="eastAsia"/>
                <w:sz w:val="19"/>
              </w:rPr>
            </w:pPr>
            <w:r>
              <w:rPr>
                <w:rFonts w:hint="eastAsia"/>
                <w:sz w:val="19"/>
              </w:rPr>
              <w:t>16</w:t>
            </w:r>
          </w:p>
        </w:tc>
        <w:tc>
          <w:tcPr>
            <w:tcW w:w="472" w:type="pct"/>
            <w:shd w:val="clear" w:color="auto" w:fill="auto"/>
            <w:noWrap/>
            <w:vAlign w:val="center"/>
          </w:tcPr>
          <w:p>
            <w:pPr>
              <w:spacing w:line="240" w:lineRule="auto"/>
              <w:jc w:val="center"/>
              <w:rPr>
                <w:rFonts w:hint="eastAsia"/>
                <w:sz w:val="19"/>
              </w:rPr>
            </w:pPr>
            <w:r>
              <w:rPr>
                <w:rFonts w:hint="eastAsia"/>
                <w:sz w:val="19"/>
              </w:rPr>
              <w:t>16</w:t>
            </w:r>
          </w:p>
        </w:tc>
        <w:tc>
          <w:tcPr>
            <w:tcW w:w="472" w:type="pct"/>
            <w:shd w:val="clear" w:color="auto" w:fill="auto"/>
            <w:noWrap/>
            <w:vAlign w:val="center"/>
          </w:tcPr>
          <w:p>
            <w:pPr>
              <w:spacing w:line="240" w:lineRule="auto"/>
              <w:jc w:val="center"/>
              <w:rPr>
                <w:rFonts w:hint="eastAsia"/>
                <w:sz w:val="19"/>
              </w:rPr>
            </w:pPr>
            <w:r>
              <w:rPr>
                <w:rFonts w:hint="eastAsia"/>
                <w:sz w:val="19"/>
              </w:rPr>
              <w:t>19</w:t>
            </w:r>
          </w:p>
        </w:tc>
        <w:tc>
          <w:tcPr>
            <w:tcW w:w="472" w:type="pct"/>
            <w:shd w:val="clear" w:color="auto" w:fill="auto"/>
            <w:noWrap/>
            <w:vAlign w:val="center"/>
          </w:tcPr>
          <w:p>
            <w:pPr>
              <w:spacing w:line="240" w:lineRule="auto"/>
              <w:jc w:val="center"/>
              <w:rPr>
                <w:rFonts w:hint="eastAsia"/>
                <w:sz w:val="19"/>
              </w:rPr>
            </w:pPr>
            <w:r>
              <w:rPr>
                <w:rFonts w:hint="eastAsia"/>
                <w:sz w:val="19"/>
              </w:rPr>
              <w:t>20</w:t>
            </w:r>
          </w:p>
        </w:tc>
        <w:tc>
          <w:tcPr>
            <w:tcW w:w="473" w:type="pct"/>
            <w:shd w:val="clear" w:color="auto" w:fill="auto"/>
            <w:noWrap/>
            <w:vAlign w:val="center"/>
          </w:tcPr>
          <w:p>
            <w:pPr>
              <w:spacing w:line="240" w:lineRule="auto"/>
              <w:jc w:val="center"/>
              <w:rPr>
                <w:rFonts w:hint="eastAsia"/>
                <w:sz w:val="19"/>
              </w:rPr>
            </w:pPr>
            <w:r>
              <w:rPr>
                <w:rFonts w:hint="eastAsia"/>
                <w:sz w:val="19"/>
              </w:rPr>
              <w:t>41</w:t>
            </w:r>
          </w:p>
        </w:tc>
        <w:tc>
          <w:tcPr>
            <w:tcW w:w="469" w:type="pct"/>
            <w:vAlign w:val="center"/>
          </w:tcPr>
          <w:p>
            <w:pPr>
              <w:spacing w:line="240" w:lineRule="auto"/>
              <w:jc w:val="center"/>
              <w:rPr>
                <w:rFonts w:hint="eastAsia"/>
                <w:sz w:val="19"/>
              </w:rPr>
            </w:pPr>
            <w:r>
              <w:rPr>
                <w:rFonts w:hint="eastAsia"/>
                <w:sz w:val="19"/>
              </w:rPr>
              <w:t xml:space="preserve">84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755" w:type="pct"/>
            <w:shd w:val="clear" w:color="auto" w:fill="auto"/>
            <w:vAlign w:val="center"/>
          </w:tcPr>
          <w:p>
            <w:pPr>
              <w:spacing w:line="240" w:lineRule="auto"/>
              <w:jc w:val="center"/>
              <w:rPr>
                <w:rFonts w:hint="eastAsia"/>
                <w:sz w:val="19"/>
              </w:rPr>
            </w:pPr>
            <w:r>
              <w:rPr>
                <w:rFonts w:hint="eastAsia"/>
                <w:sz w:val="19"/>
              </w:rPr>
              <w:t>出租车</w:t>
            </w:r>
          </w:p>
        </w:tc>
        <w:tc>
          <w:tcPr>
            <w:tcW w:w="472" w:type="pct"/>
            <w:shd w:val="clear" w:color="auto" w:fill="auto"/>
            <w:noWrap/>
            <w:vAlign w:val="center"/>
          </w:tcPr>
          <w:p>
            <w:pPr>
              <w:spacing w:line="240" w:lineRule="auto"/>
              <w:jc w:val="center"/>
              <w:rPr>
                <w:rFonts w:hint="eastAsia"/>
                <w:sz w:val="19"/>
              </w:rPr>
            </w:pPr>
            <w:r>
              <w:rPr>
                <w:rFonts w:hint="eastAsia"/>
                <w:sz w:val="19"/>
              </w:rPr>
              <w:t>772</w:t>
            </w:r>
          </w:p>
        </w:tc>
        <w:tc>
          <w:tcPr>
            <w:tcW w:w="472" w:type="pct"/>
            <w:shd w:val="clear" w:color="auto" w:fill="auto"/>
            <w:noWrap/>
            <w:vAlign w:val="center"/>
          </w:tcPr>
          <w:p>
            <w:pPr>
              <w:spacing w:line="240" w:lineRule="auto"/>
              <w:jc w:val="center"/>
              <w:rPr>
                <w:rFonts w:hint="eastAsia"/>
                <w:sz w:val="19"/>
              </w:rPr>
            </w:pPr>
            <w:r>
              <w:rPr>
                <w:rFonts w:hint="eastAsia"/>
                <w:sz w:val="19"/>
              </w:rPr>
              <w:t>832</w:t>
            </w:r>
          </w:p>
        </w:tc>
        <w:tc>
          <w:tcPr>
            <w:tcW w:w="472" w:type="pct"/>
            <w:shd w:val="clear" w:color="auto" w:fill="auto"/>
            <w:noWrap/>
            <w:vAlign w:val="center"/>
          </w:tcPr>
          <w:p>
            <w:pPr>
              <w:spacing w:line="240" w:lineRule="auto"/>
              <w:jc w:val="center"/>
              <w:rPr>
                <w:rFonts w:hint="eastAsia"/>
                <w:sz w:val="19"/>
              </w:rPr>
            </w:pPr>
            <w:r>
              <w:rPr>
                <w:rFonts w:hint="eastAsia"/>
                <w:sz w:val="19"/>
              </w:rPr>
              <w:t>837</w:t>
            </w:r>
          </w:p>
        </w:tc>
        <w:tc>
          <w:tcPr>
            <w:tcW w:w="472" w:type="pct"/>
            <w:shd w:val="clear" w:color="auto" w:fill="auto"/>
            <w:noWrap/>
            <w:vAlign w:val="center"/>
          </w:tcPr>
          <w:p>
            <w:pPr>
              <w:spacing w:line="240" w:lineRule="auto"/>
              <w:jc w:val="center"/>
              <w:rPr>
                <w:rFonts w:hint="eastAsia"/>
                <w:sz w:val="19"/>
              </w:rPr>
            </w:pPr>
            <w:r>
              <w:rPr>
                <w:rFonts w:hint="eastAsia"/>
                <w:sz w:val="19"/>
              </w:rPr>
              <w:t>796</w:t>
            </w:r>
          </w:p>
        </w:tc>
        <w:tc>
          <w:tcPr>
            <w:tcW w:w="472" w:type="pct"/>
            <w:shd w:val="clear" w:color="auto" w:fill="auto"/>
            <w:noWrap/>
            <w:vAlign w:val="center"/>
          </w:tcPr>
          <w:p>
            <w:pPr>
              <w:spacing w:line="240" w:lineRule="auto"/>
              <w:jc w:val="center"/>
              <w:rPr>
                <w:rFonts w:hint="eastAsia"/>
                <w:sz w:val="19"/>
              </w:rPr>
            </w:pPr>
            <w:r>
              <w:rPr>
                <w:rFonts w:hint="eastAsia"/>
                <w:sz w:val="19"/>
              </w:rPr>
              <w:t>800</w:t>
            </w:r>
          </w:p>
        </w:tc>
        <w:tc>
          <w:tcPr>
            <w:tcW w:w="472" w:type="pct"/>
            <w:shd w:val="clear" w:color="auto" w:fill="auto"/>
            <w:noWrap/>
            <w:vAlign w:val="center"/>
          </w:tcPr>
          <w:p>
            <w:pPr>
              <w:spacing w:line="240" w:lineRule="auto"/>
              <w:jc w:val="center"/>
              <w:rPr>
                <w:rFonts w:hint="eastAsia"/>
                <w:sz w:val="19"/>
              </w:rPr>
            </w:pPr>
            <w:r>
              <w:rPr>
                <w:rFonts w:hint="eastAsia"/>
                <w:sz w:val="19"/>
              </w:rPr>
              <w:t>803</w:t>
            </w:r>
          </w:p>
        </w:tc>
        <w:tc>
          <w:tcPr>
            <w:tcW w:w="472" w:type="pct"/>
            <w:shd w:val="clear" w:color="auto" w:fill="auto"/>
            <w:noWrap/>
            <w:vAlign w:val="center"/>
          </w:tcPr>
          <w:p>
            <w:pPr>
              <w:spacing w:line="240" w:lineRule="auto"/>
              <w:jc w:val="center"/>
              <w:rPr>
                <w:rFonts w:hint="eastAsia"/>
                <w:sz w:val="19"/>
              </w:rPr>
            </w:pPr>
            <w:r>
              <w:rPr>
                <w:rFonts w:hint="eastAsia"/>
                <w:sz w:val="19"/>
              </w:rPr>
              <w:t>806</w:t>
            </w:r>
          </w:p>
        </w:tc>
        <w:tc>
          <w:tcPr>
            <w:tcW w:w="473" w:type="pct"/>
            <w:shd w:val="clear" w:color="auto" w:fill="auto"/>
            <w:noWrap/>
            <w:vAlign w:val="center"/>
          </w:tcPr>
          <w:p>
            <w:pPr>
              <w:spacing w:line="240" w:lineRule="auto"/>
              <w:jc w:val="center"/>
              <w:rPr>
                <w:rFonts w:hint="eastAsia"/>
                <w:sz w:val="19"/>
              </w:rPr>
            </w:pPr>
            <w:r>
              <w:rPr>
                <w:rFonts w:hint="eastAsia"/>
                <w:sz w:val="19"/>
              </w:rPr>
              <w:t>810</w:t>
            </w:r>
          </w:p>
        </w:tc>
        <w:tc>
          <w:tcPr>
            <w:tcW w:w="469" w:type="pct"/>
            <w:vAlign w:val="center"/>
          </w:tcPr>
          <w:p>
            <w:pPr>
              <w:spacing w:line="240" w:lineRule="auto"/>
              <w:jc w:val="center"/>
              <w:rPr>
                <w:rFonts w:hint="eastAsia"/>
                <w:sz w:val="19"/>
              </w:rPr>
            </w:pPr>
            <w:r>
              <w:rPr>
                <w:rFonts w:hint="eastAsia"/>
                <w:sz w:val="19"/>
              </w:rPr>
              <w:t xml:space="preserve">814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755" w:type="pct"/>
            <w:shd w:val="clear" w:color="auto" w:fill="auto"/>
            <w:vAlign w:val="center"/>
          </w:tcPr>
          <w:p>
            <w:pPr>
              <w:spacing w:line="240" w:lineRule="auto"/>
              <w:jc w:val="center"/>
              <w:rPr>
                <w:rFonts w:hint="eastAsia"/>
                <w:sz w:val="19"/>
              </w:rPr>
            </w:pPr>
            <w:r>
              <w:rPr>
                <w:rFonts w:hint="eastAsia"/>
                <w:sz w:val="19"/>
              </w:rPr>
              <w:t>物流车</w:t>
            </w:r>
          </w:p>
        </w:tc>
        <w:tc>
          <w:tcPr>
            <w:tcW w:w="472" w:type="pct"/>
            <w:shd w:val="clear" w:color="auto" w:fill="auto"/>
            <w:noWrap/>
            <w:vAlign w:val="center"/>
          </w:tcPr>
          <w:p>
            <w:pPr>
              <w:spacing w:line="240" w:lineRule="auto"/>
              <w:jc w:val="center"/>
              <w:rPr>
                <w:rFonts w:hint="eastAsia"/>
                <w:sz w:val="19"/>
              </w:rPr>
            </w:pPr>
            <w:r>
              <w:rPr>
                <w:rFonts w:hint="eastAsia"/>
                <w:sz w:val="19"/>
              </w:rPr>
              <w:t>5442</w:t>
            </w:r>
          </w:p>
        </w:tc>
        <w:tc>
          <w:tcPr>
            <w:tcW w:w="472" w:type="pct"/>
            <w:shd w:val="clear" w:color="auto" w:fill="auto"/>
            <w:noWrap/>
            <w:vAlign w:val="center"/>
          </w:tcPr>
          <w:p>
            <w:pPr>
              <w:spacing w:line="240" w:lineRule="auto"/>
              <w:jc w:val="center"/>
              <w:rPr>
                <w:rFonts w:hint="eastAsia"/>
                <w:sz w:val="19"/>
              </w:rPr>
            </w:pPr>
            <w:r>
              <w:rPr>
                <w:rFonts w:hint="eastAsia"/>
                <w:sz w:val="19"/>
              </w:rPr>
              <w:t>3806</w:t>
            </w:r>
          </w:p>
        </w:tc>
        <w:tc>
          <w:tcPr>
            <w:tcW w:w="472" w:type="pct"/>
            <w:shd w:val="clear" w:color="auto" w:fill="auto"/>
            <w:noWrap/>
            <w:vAlign w:val="center"/>
          </w:tcPr>
          <w:p>
            <w:pPr>
              <w:spacing w:line="240" w:lineRule="auto"/>
              <w:jc w:val="center"/>
              <w:rPr>
                <w:rFonts w:hint="eastAsia"/>
                <w:sz w:val="19"/>
              </w:rPr>
            </w:pPr>
            <w:r>
              <w:rPr>
                <w:rFonts w:hint="eastAsia"/>
                <w:sz w:val="19"/>
              </w:rPr>
              <w:t>4397</w:t>
            </w:r>
          </w:p>
        </w:tc>
        <w:tc>
          <w:tcPr>
            <w:tcW w:w="472" w:type="pct"/>
            <w:shd w:val="clear" w:color="auto" w:fill="auto"/>
            <w:noWrap/>
            <w:vAlign w:val="center"/>
          </w:tcPr>
          <w:p>
            <w:pPr>
              <w:spacing w:line="240" w:lineRule="auto"/>
              <w:jc w:val="center"/>
              <w:rPr>
                <w:rFonts w:hint="eastAsia"/>
                <w:sz w:val="19"/>
              </w:rPr>
            </w:pPr>
            <w:r>
              <w:rPr>
                <w:rFonts w:hint="eastAsia"/>
                <w:sz w:val="19"/>
              </w:rPr>
              <w:t>4538</w:t>
            </w:r>
          </w:p>
        </w:tc>
        <w:tc>
          <w:tcPr>
            <w:tcW w:w="472" w:type="pct"/>
            <w:shd w:val="clear" w:color="auto" w:fill="auto"/>
            <w:noWrap/>
            <w:vAlign w:val="center"/>
          </w:tcPr>
          <w:p>
            <w:pPr>
              <w:spacing w:line="240" w:lineRule="auto"/>
              <w:jc w:val="center"/>
              <w:rPr>
                <w:rFonts w:hint="eastAsia"/>
                <w:sz w:val="19"/>
              </w:rPr>
            </w:pPr>
            <w:r>
              <w:rPr>
                <w:rFonts w:hint="eastAsia"/>
                <w:sz w:val="19"/>
              </w:rPr>
              <w:t>5369</w:t>
            </w:r>
          </w:p>
        </w:tc>
        <w:tc>
          <w:tcPr>
            <w:tcW w:w="472" w:type="pct"/>
            <w:shd w:val="clear" w:color="auto" w:fill="auto"/>
            <w:noWrap/>
            <w:vAlign w:val="center"/>
          </w:tcPr>
          <w:p>
            <w:pPr>
              <w:spacing w:line="240" w:lineRule="auto"/>
              <w:jc w:val="center"/>
              <w:rPr>
                <w:rFonts w:hint="eastAsia"/>
                <w:sz w:val="19"/>
              </w:rPr>
            </w:pPr>
            <w:r>
              <w:rPr>
                <w:rFonts w:hint="eastAsia"/>
                <w:sz w:val="19"/>
              </w:rPr>
              <w:t>6438</w:t>
            </w:r>
          </w:p>
        </w:tc>
        <w:tc>
          <w:tcPr>
            <w:tcW w:w="472" w:type="pct"/>
            <w:shd w:val="clear" w:color="auto" w:fill="auto"/>
            <w:noWrap/>
            <w:vAlign w:val="center"/>
          </w:tcPr>
          <w:p>
            <w:pPr>
              <w:spacing w:line="240" w:lineRule="auto"/>
              <w:jc w:val="center"/>
              <w:rPr>
                <w:rFonts w:hint="eastAsia"/>
                <w:sz w:val="19"/>
              </w:rPr>
            </w:pPr>
            <w:r>
              <w:rPr>
                <w:rFonts w:hint="eastAsia"/>
                <w:sz w:val="19"/>
              </w:rPr>
              <w:t>6678</w:t>
            </w:r>
          </w:p>
        </w:tc>
        <w:tc>
          <w:tcPr>
            <w:tcW w:w="473" w:type="pct"/>
            <w:shd w:val="clear" w:color="auto" w:fill="auto"/>
            <w:noWrap/>
            <w:vAlign w:val="center"/>
          </w:tcPr>
          <w:p>
            <w:pPr>
              <w:spacing w:line="240" w:lineRule="auto"/>
              <w:jc w:val="center"/>
              <w:rPr>
                <w:rFonts w:hint="eastAsia"/>
                <w:sz w:val="19"/>
              </w:rPr>
            </w:pPr>
            <w:r>
              <w:rPr>
                <w:rFonts w:hint="eastAsia"/>
                <w:sz w:val="19"/>
              </w:rPr>
              <w:t>6980</w:t>
            </w:r>
          </w:p>
        </w:tc>
        <w:tc>
          <w:tcPr>
            <w:tcW w:w="469" w:type="pct"/>
            <w:vAlign w:val="center"/>
          </w:tcPr>
          <w:p>
            <w:pPr>
              <w:spacing w:line="240" w:lineRule="auto"/>
              <w:jc w:val="center"/>
              <w:rPr>
                <w:rFonts w:hint="eastAsia"/>
                <w:sz w:val="19"/>
              </w:rPr>
            </w:pPr>
            <w:r>
              <w:rPr>
                <w:rFonts w:hint="eastAsia"/>
                <w:sz w:val="19"/>
              </w:rPr>
              <w:t xml:space="preserve">7296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755" w:type="pct"/>
            <w:shd w:val="clear" w:color="auto" w:fill="auto"/>
            <w:vAlign w:val="center"/>
          </w:tcPr>
          <w:p>
            <w:pPr>
              <w:spacing w:line="240" w:lineRule="auto"/>
              <w:jc w:val="center"/>
              <w:rPr>
                <w:rFonts w:hint="eastAsia"/>
                <w:sz w:val="19"/>
              </w:rPr>
            </w:pPr>
            <w:r>
              <w:rPr>
                <w:rFonts w:hint="eastAsia"/>
                <w:sz w:val="19"/>
              </w:rPr>
              <w:t>公务车</w:t>
            </w:r>
          </w:p>
        </w:tc>
        <w:tc>
          <w:tcPr>
            <w:tcW w:w="472" w:type="pct"/>
            <w:shd w:val="clear" w:color="auto" w:fill="auto"/>
            <w:noWrap/>
            <w:vAlign w:val="center"/>
          </w:tcPr>
          <w:p>
            <w:pPr>
              <w:spacing w:line="240" w:lineRule="auto"/>
              <w:jc w:val="center"/>
              <w:rPr>
                <w:rFonts w:hint="eastAsia"/>
                <w:sz w:val="19"/>
              </w:rPr>
            </w:pPr>
            <w:r>
              <w:rPr>
                <w:rFonts w:hint="eastAsia"/>
                <w:sz w:val="19"/>
              </w:rPr>
              <w:t>212</w:t>
            </w:r>
          </w:p>
        </w:tc>
        <w:tc>
          <w:tcPr>
            <w:tcW w:w="472" w:type="pct"/>
            <w:shd w:val="clear" w:color="auto" w:fill="auto"/>
            <w:noWrap/>
            <w:vAlign w:val="center"/>
          </w:tcPr>
          <w:p>
            <w:pPr>
              <w:spacing w:line="240" w:lineRule="auto"/>
              <w:jc w:val="center"/>
              <w:rPr>
                <w:rFonts w:hint="eastAsia"/>
                <w:sz w:val="19"/>
              </w:rPr>
            </w:pPr>
            <w:r>
              <w:rPr>
                <w:rFonts w:hint="eastAsia"/>
                <w:sz w:val="19"/>
              </w:rPr>
              <w:t>254</w:t>
            </w:r>
          </w:p>
        </w:tc>
        <w:tc>
          <w:tcPr>
            <w:tcW w:w="472" w:type="pct"/>
            <w:shd w:val="clear" w:color="auto" w:fill="auto"/>
            <w:noWrap/>
            <w:vAlign w:val="center"/>
          </w:tcPr>
          <w:p>
            <w:pPr>
              <w:spacing w:line="240" w:lineRule="auto"/>
              <w:jc w:val="center"/>
              <w:rPr>
                <w:rFonts w:hint="eastAsia"/>
                <w:sz w:val="19"/>
              </w:rPr>
            </w:pPr>
            <w:r>
              <w:rPr>
                <w:rFonts w:hint="eastAsia"/>
                <w:sz w:val="19"/>
              </w:rPr>
              <w:t>295</w:t>
            </w:r>
          </w:p>
        </w:tc>
        <w:tc>
          <w:tcPr>
            <w:tcW w:w="472" w:type="pct"/>
            <w:shd w:val="clear" w:color="auto" w:fill="auto"/>
            <w:noWrap/>
            <w:vAlign w:val="center"/>
          </w:tcPr>
          <w:p>
            <w:pPr>
              <w:spacing w:line="240" w:lineRule="auto"/>
              <w:jc w:val="center"/>
              <w:rPr>
                <w:rFonts w:hint="eastAsia"/>
                <w:sz w:val="19"/>
              </w:rPr>
            </w:pPr>
            <w:r>
              <w:rPr>
                <w:rFonts w:hint="eastAsia"/>
                <w:sz w:val="19"/>
              </w:rPr>
              <w:t>370</w:t>
            </w:r>
          </w:p>
        </w:tc>
        <w:tc>
          <w:tcPr>
            <w:tcW w:w="472" w:type="pct"/>
            <w:shd w:val="clear" w:color="auto" w:fill="auto"/>
            <w:noWrap/>
            <w:vAlign w:val="center"/>
          </w:tcPr>
          <w:p>
            <w:pPr>
              <w:spacing w:line="240" w:lineRule="auto"/>
              <w:jc w:val="center"/>
              <w:rPr>
                <w:rFonts w:hint="eastAsia"/>
                <w:sz w:val="19"/>
              </w:rPr>
            </w:pPr>
            <w:r>
              <w:rPr>
                <w:rFonts w:hint="eastAsia"/>
                <w:sz w:val="19"/>
              </w:rPr>
              <w:t>386</w:t>
            </w:r>
          </w:p>
        </w:tc>
        <w:tc>
          <w:tcPr>
            <w:tcW w:w="472" w:type="pct"/>
            <w:shd w:val="clear" w:color="auto" w:fill="auto"/>
            <w:noWrap/>
            <w:vAlign w:val="center"/>
          </w:tcPr>
          <w:p>
            <w:pPr>
              <w:spacing w:line="240" w:lineRule="auto"/>
              <w:jc w:val="center"/>
              <w:rPr>
                <w:rFonts w:hint="eastAsia"/>
                <w:sz w:val="19"/>
              </w:rPr>
            </w:pPr>
            <w:r>
              <w:rPr>
                <w:rFonts w:hint="eastAsia"/>
                <w:sz w:val="19"/>
              </w:rPr>
              <w:t>396</w:t>
            </w:r>
          </w:p>
        </w:tc>
        <w:tc>
          <w:tcPr>
            <w:tcW w:w="472" w:type="pct"/>
            <w:shd w:val="clear" w:color="auto" w:fill="auto"/>
            <w:noWrap/>
            <w:vAlign w:val="center"/>
          </w:tcPr>
          <w:p>
            <w:pPr>
              <w:spacing w:line="240" w:lineRule="auto"/>
              <w:jc w:val="center"/>
              <w:rPr>
                <w:rFonts w:hint="eastAsia"/>
                <w:sz w:val="19"/>
              </w:rPr>
            </w:pPr>
            <w:r>
              <w:rPr>
                <w:rFonts w:hint="eastAsia"/>
                <w:sz w:val="19"/>
              </w:rPr>
              <w:t>419</w:t>
            </w:r>
          </w:p>
        </w:tc>
        <w:tc>
          <w:tcPr>
            <w:tcW w:w="473" w:type="pct"/>
            <w:shd w:val="clear" w:color="auto" w:fill="auto"/>
            <w:noWrap/>
            <w:vAlign w:val="center"/>
          </w:tcPr>
          <w:p>
            <w:pPr>
              <w:spacing w:line="240" w:lineRule="auto"/>
              <w:jc w:val="center"/>
              <w:rPr>
                <w:rFonts w:hint="eastAsia"/>
                <w:sz w:val="19"/>
              </w:rPr>
            </w:pPr>
            <w:r>
              <w:rPr>
                <w:rFonts w:hint="eastAsia"/>
                <w:sz w:val="19"/>
              </w:rPr>
              <w:t>437</w:t>
            </w:r>
          </w:p>
        </w:tc>
        <w:tc>
          <w:tcPr>
            <w:tcW w:w="469" w:type="pct"/>
            <w:vAlign w:val="center"/>
          </w:tcPr>
          <w:p>
            <w:pPr>
              <w:spacing w:line="240" w:lineRule="auto"/>
              <w:jc w:val="center"/>
              <w:rPr>
                <w:rFonts w:hint="eastAsia"/>
                <w:sz w:val="19"/>
              </w:rPr>
            </w:pPr>
            <w:r>
              <w:rPr>
                <w:rFonts w:hint="eastAsia"/>
                <w:sz w:val="19"/>
              </w:rPr>
              <w:t xml:space="preserve">456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755" w:type="pct"/>
            <w:shd w:val="clear" w:color="auto" w:fill="auto"/>
            <w:vAlign w:val="center"/>
          </w:tcPr>
          <w:p>
            <w:pPr>
              <w:spacing w:line="240" w:lineRule="auto"/>
              <w:jc w:val="center"/>
              <w:rPr>
                <w:rFonts w:hint="eastAsia"/>
                <w:sz w:val="19"/>
              </w:rPr>
            </w:pPr>
            <w:r>
              <w:rPr>
                <w:rFonts w:hint="eastAsia"/>
                <w:sz w:val="19"/>
              </w:rPr>
              <w:t>客运班车</w:t>
            </w:r>
          </w:p>
        </w:tc>
        <w:tc>
          <w:tcPr>
            <w:tcW w:w="472" w:type="pct"/>
            <w:shd w:val="clear" w:color="auto" w:fill="auto"/>
            <w:noWrap/>
            <w:vAlign w:val="center"/>
          </w:tcPr>
          <w:p>
            <w:pPr>
              <w:spacing w:line="240" w:lineRule="auto"/>
              <w:jc w:val="center"/>
              <w:rPr>
                <w:rFonts w:hint="eastAsia"/>
                <w:sz w:val="19"/>
              </w:rPr>
            </w:pPr>
            <w:r>
              <w:rPr>
                <w:rFonts w:hint="eastAsia"/>
                <w:sz w:val="19"/>
              </w:rPr>
              <w:t>108</w:t>
            </w:r>
          </w:p>
        </w:tc>
        <w:tc>
          <w:tcPr>
            <w:tcW w:w="472" w:type="pct"/>
            <w:shd w:val="clear" w:color="auto" w:fill="auto"/>
            <w:noWrap/>
            <w:vAlign w:val="center"/>
          </w:tcPr>
          <w:p>
            <w:pPr>
              <w:spacing w:line="240" w:lineRule="auto"/>
              <w:jc w:val="center"/>
              <w:rPr>
                <w:rFonts w:hint="eastAsia"/>
                <w:sz w:val="19"/>
              </w:rPr>
            </w:pPr>
            <w:r>
              <w:rPr>
                <w:rFonts w:hint="eastAsia"/>
                <w:sz w:val="19"/>
              </w:rPr>
              <w:t>82</w:t>
            </w:r>
          </w:p>
        </w:tc>
        <w:tc>
          <w:tcPr>
            <w:tcW w:w="472" w:type="pct"/>
            <w:shd w:val="clear" w:color="auto" w:fill="auto"/>
            <w:noWrap/>
            <w:vAlign w:val="center"/>
          </w:tcPr>
          <w:p>
            <w:pPr>
              <w:spacing w:line="240" w:lineRule="auto"/>
              <w:jc w:val="center"/>
              <w:rPr>
                <w:rFonts w:hint="eastAsia"/>
                <w:sz w:val="19"/>
              </w:rPr>
            </w:pPr>
            <w:r>
              <w:rPr>
                <w:rFonts w:hint="eastAsia"/>
                <w:sz w:val="19"/>
              </w:rPr>
              <w:t>79</w:t>
            </w:r>
          </w:p>
        </w:tc>
        <w:tc>
          <w:tcPr>
            <w:tcW w:w="472" w:type="pct"/>
            <w:shd w:val="clear" w:color="auto" w:fill="auto"/>
            <w:noWrap/>
            <w:vAlign w:val="center"/>
          </w:tcPr>
          <w:p>
            <w:pPr>
              <w:spacing w:line="240" w:lineRule="auto"/>
              <w:jc w:val="center"/>
              <w:rPr>
                <w:rFonts w:hint="eastAsia"/>
                <w:sz w:val="19"/>
              </w:rPr>
            </w:pPr>
            <w:r>
              <w:rPr>
                <w:rFonts w:hint="eastAsia"/>
                <w:sz w:val="19"/>
              </w:rPr>
              <w:t>51</w:t>
            </w:r>
          </w:p>
        </w:tc>
        <w:tc>
          <w:tcPr>
            <w:tcW w:w="472" w:type="pct"/>
            <w:shd w:val="clear" w:color="auto" w:fill="auto"/>
            <w:noWrap/>
            <w:vAlign w:val="center"/>
          </w:tcPr>
          <w:p>
            <w:pPr>
              <w:spacing w:line="240" w:lineRule="auto"/>
              <w:jc w:val="center"/>
              <w:rPr>
                <w:rFonts w:hint="eastAsia"/>
                <w:sz w:val="19"/>
              </w:rPr>
            </w:pPr>
            <w:r>
              <w:rPr>
                <w:rFonts w:hint="eastAsia"/>
                <w:sz w:val="19"/>
              </w:rPr>
              <w:t>50</w:t>
            </w:r>
          </w:p>
        </w:tc>
        <w:tc>
          <w:tcPr>
            <w:tcW w:w="472" w:type="pct"/>
            <w:shd w:val="clear" w:color="auto" w:fill="auto"/>
            <w:noWrap/>
            <w:vAlign w:val="center"/>
          </w:tcPr>
          <w:p>
            <w:pPr>
              <w:spacing w:line="240" w:lineRule="auto"/>
              <w:jc w:val="center"/>
              <w:rPr>
                <w:rFonts w:hint="eastAsia"/>
                <w:sz w:val="19"/>
              </w:rPr>
            </w:pPr>
            <w:r>
              <w:rPr>
                <w:rFonts w:hint="eastAsia"/>
                <w:sz w:val="19"/>
              </w:rPr>
              <w:t>62</w:t>
            </w:r>
          </w:p>
        </w:tc>
        <w:tc>
          <w:tcPr>
            <w:tcW w:w="472" w:type="pct"/>
            <w:shd w:val="clear" w:color="auto" w:fill="auto"/>
            <w:noWrap/>
            <w:vAlign w:val="center"/>
          </w:tcPr>
          <w:p>
            <w:pPr>
              <w:spacing w:line="240" w:lineRule="auto"/>
              <w:jc w:val="center"/>
              <w:rPr>
                <w:rFonts w:hint="eastAsia"/>
                <w:sz w:val="19"/>
              </w:rPr>
            </w:pPr>
            <w:r>
              <w:rPr>
                <w:rFonts w:hint="eastAsia"/>
                <w:sz w:val="19"/>
              </w:rPr>
              <w:t>57</w:t>
            </w:r>
          </w:p>
        </w:tc>
        <w:tc>
          <w:tcPr>
            <w:tcW w:w="473" w:type="pct"/>
            <w:shd w:val="clear" w:color="auto" w:fill="auto"/>
            <w:noWrap/>
            <w:vAlign w:val="center"/>
          </w:tcPr>
          <w:p>
            <w:pPr>
              <w:spacing w:line="240" w:lineRule="auto"/>
              <w:jc w:val="center"/>
              <w:rPr>
                <w:rFonts w:hint="eastAsia"/>
                <w:sz w:val="19"/>
              </w:rPr>
            </w:pPr>
            <w:r>
              <w:rPr>
                <w:rFonts w:hint="eastAsia"/>
                <w:sz w:val="19"/>
              </w:rPr>
              <w:t>54</w:t>
            </w:r>
          </w:p>
        </w:tc>
        <w:tc>
          <w:tcPr>
            <w:tcW w:w="469" w:type="pct"/>
            <w:vAlign w:val="center"/>
          </w:tcPr>
          <w:p>
            <w:pPr>
              <w:spacing w:line="240" w:lineRule="auto"/>
              <w:jc w:val="center"/>
              <w:rPr>
                <w:rFonts w:hint="eastAsia"/>
                <w:sz w:val="19"/>
              </w:rPr>
            </w:pPr>
            <w:r>
              <w:rPr>
                <w:rFonts w:hint="eastAsia"/>
                <w:sz w:val="19"/>
              </w:rPr>
              <w:t xml:space="preserve">51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755" w:type="pct"/>
            <w:shd w:val="clear" w:color="auto" w:fill="auto"/>
            <w:vAlign w:val="center"/>
          </w:tcPr>
          <w:p>
            <w:pPr>
              <w:spacing w:line="240" w:lineRule="auto"/>
              <w:jc w:val="center"/>
              <w:rPr>
                <w:rFonts w:hint="eastAsia"/>
                <w:sz w:val="19"/>
              </w:rPr>
            </w:pPr>
            <w:r>
              <w:rPr>
                <w:rFonts w:hint="eastAsia"/>
                <w:sz w:val="19"/>
              </w:rPr>
              <w:t>其他</w:t>
            </w:r>
          </w:p>
        </w:tc>
        <w:tc>
          <w:tcPr>
            <w:tcW w:w="472" w:type="pct"/>
            <w:shd w:val="clear" w:color="auto" w:fill="auto"/>
            <w:noWrap/>
            <w:vAlign w:val="center"/>
          </w:tcPr>
          <w:p>
            <w:pPr>
              <w:spacing w:line="240" w:lineRule="auto"/>
              <w:jc w:val="center"/>
              <w:rPr>
                <w:rFonts w:hint="eastAsia"/>
                <w:sz w:val="19"/>
              </w:rPr>
            </w:pPr>
            <w:r>
              <w:rPr>
                <w:rFonts w:hint="eastAsia"/>
                <w:sz w:val="19"/>
              </w:rPr>
              <w:t>8957</w:t>
            </w:r>
          </w:p>
        </w:tc>
        <w:tc>
          <w:tcPr>
            <w:tcW w:w="472" w:type="pct"/>
            <w:shd w:val="clear" w:color="auto" w:fill="auto"/>
            <w:noWrap/>
            <w:vAlign w:val="center"/>
          </w:tcPr>
          <w:p>
            <w:pPr>
              <w:spacing w:line="240" w:lineRule="auto"/>
              <w:jc w:val="center"/>
              <w:rPr>
                <w:rFonts w:hint="eastAsia"/>
                <w:sz w:val="19"/>
              </w:rPr>
            </w:pPr>
            <w:r>
              <w:rPr>
                <w:rFonts w:hint="eastAsia"/>
                <w:sz w:val="19"/>
              </w:rPr>
              <w:t>10408</w:t>
            </w:r>
          </w:p>
        </w:tc>
        <w:tc>
          <w:tcPr>
            <w:tcW w:w="472" w:type="pct"/>
            <w:shd w:val="clear" w:color="auto" w:fill="auto"/>
            <w:noWrap/>
            <w:vAlign w:val="center"/>
          </w:tcPr>
          <w:p>
            <w:pPr>
              <w:spacing w:line="240" w:lineRule="auto"/>
              <w:jc w:val="center"/>
              <w:rPr>
                <w:rFonts w:hint="eastAsia"/>
                <w:sz w:val="19"/>
              </w:rPr>
            </w:pPr>
            <w:r>
              <w:rPr>
                <w:rFonts w:hint="eastAsia"/>
                <w:sz w:val="19"/>
              </w:rPr>
              <w:t>10781</w:t>
            </w:r>
          </w:p>
        </w:tc>
        <w:tc>
          <w:tcPr>
            <w:tcW w:w="472" w:type="pct"/>
            <w:shd w:val="clear" w:color="auto" w:fill="auto"/>
            <w:noWrap/>
            <w:vAlign w:val="center"/>
          </w:tcPr>
          <w:p>
            <w:pPr>
              <w:spacing w:line="240" w:lineRule="auto"/>
              <w:jc w:val="center"/>
              <w:rPr>
                <w:rFonts w:hint="eastAsia"/>
                <w:sz w:val="19"/>
              </w:rPr>
            </w:pPr>
            <w:r>
              <w:rPr>
                <w:rFonts w:hint="eastAsia"/>
                <w:sz w:val="19"/>
              </w:rPr>
              <w:t>11275</w:t>
            </w:r>
          </w:p>
        </w:tc>
        <w:tc>
          <w:tcPr>
            <w:tcW w:w="472" w:type="pct"/>
            <w:shd w:val="clear" w:color="auto" w:fill="auto"/>
            <w:noWrap/>
            <w:vAlign w:val="center"/>
          </w:tcPr>
          <w:p>
            <w:pPr>
              <w:spacing w:line="240" w:lineRule="auto"/>
              <w:jc w:val="center"/>
              <w:rPr>
                <w:rFonts w:hint="eastAsia"/>
                <w:sz w:val="19"/>
              </w:rPr>
            </w:pPr>
            <w:r>
              <w:rPr>
                <w:rFonts w:hint="eastAsia"/>
                <w:sz w:val="19"/>
              </w:rPr>
              <w:t>13509</w:t>
            </w:r>
          </w:p>
        </w:tc>
        <w:tc>
          <w:tcPr>
            <w:tcW w:w="472" w:type="pct"/>
            <w:shd w:val="clear" w:color="auto" w:fill="auto"/>
            <w:noWrap/>
            <w:vAlign w:val="center"/>
          </w:tcPr>
          <w:p>
            <w:pPr>
              <w:spacing w:line="240" w:lineRule="auto"/>
              <w:jc w:val="center"/>
              <w:rPr>
                <w:rFonts w:hint="eastAsia"/>
                <w:sz w:val="19"/>
              </w:rPr>
            </w:pPr>
            <w:r>
              <w:rPr>
                <w:rFonts w:hint="eastAsia"/>
                <w:sz w:val="19"/>
              </w:rPr>
              <w:t>9897</w:t>
            </w:r>
          </w:p>
        </w:tc>
        <w:tc>
          <w:tcPr>
            <w:tcW w:w="472" w:type="pct"/>
            <w:shd w:val="clear" w:color="auto" w:fill="auto"/>
            <w:noWrap/>
            <w:vAlign w:val="center"/>
          </w:tcPr>
          <w:p>
            <w:pPr>
              <w:spacing w:line="240" w:lineRule="auto"/>
              <w:jc w:val="center"/>
              <w:rPr>
                <w:rFonts w:hint="eastAsia"/>
                <w:sz w:val="19"/>
              </w:rPr>
            </w:pPr>
            <w:r>
              <w:rPr>
                <w:rFonts w:hint="eastAsia"/>
                <w:sz w:val="19"/>
              </w:rPr>
              <w:t>8371</w:t>
            </w:r>
          </w:p>
        </w:tc>
        <w:tc>
          <w:tcPr>
            <w:tcW w:w="473" w:type="pct"/>
            <w:shd w:val="clear" w:color="auto" w:fill="auto"/>
            <w:noWrap/>
            <w:vAlign w:val="center"/>
          </w:tcPr>
          <w:p>
            <w:pPr>
              <w:spacing w:line="240" w:lineRule="auto"/>
              <w:jc w:val="center"/>
              <w:rPr>
                <w:rFonts w:hint="eastAsia"/>
                <w:sz w:val="19"/>
              </w:rPr>
            </w:pPr>
            <w:r>
              <w:rPr>
                <w:rFonts w:hint="eastAsia"/>
                <w:sz w:val="19"/>
              </w:rPr>
              <w:t>7848</w:t>
            </w:r>
          </w:p>
        </w:tc>
        <w:tc>
          <w:tcPr>
            <w:tcW w:w="469" w:type="pct"/>
            <w:vAlign w:val="center"/>
          </w:tcPr>
          <w:p>
            <w:pPr>
              <w:spacing w:line="240" w:lineRule="auto"/>
              <w:jc w:val="center"/>
              <w:rPr>
                <w:rFonts w:hint="eastAsia"/>
                <w:sz w:val="19"/>
              </w:rPr>
            </w:pPr>
            <w:r>
              <w:rPr>
                <w:rFonts w:hint="eastAsia"/>
                <w:sz w:val="19"/>
              </w:rPr>
              <w:t xml:space="preserve">7358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755" w:type="pct"/>
            <w:shd w:val="clear" w:color="auto" w:fill="auto"/>
            <w:vAlign w:val="center"/>
          </w:tcPr>
          <w:p>
            <w:pPr>
              <w:spacing w:line="240" w:lineRule="auto"/>
              <w:jc w:val="center"/>
              <w:rPr>
                <w:rFonts w:hint="eastAsia"/>
                <w:sz w:val="19"/>
              </w:rPr>
            </w:pPr>
            <w:r>
              <w:rPr>
                <w:rFonts w:hint="eastAsia"/>
                <w:sz w:val="19"/>
              </w:rPr>
              <w:t>总计</w:t>
            </w:r>
          </w:p>
        </w:tc>
        <w:tc>
          <w:tcPr>
            <w:tcW w:w="472" w:type="pct"/>
            <w:shd w:val="clear" w:color="auto" w:fill="auto"/>
            <w:noWrap/>
            <w:vAlign w:val="center"/>
          </w:tcPr>
          <w:p>
            <w:pPr>
              <w:spacing w:line="240" w:lineRule="auto"/>
              <w:jc w:val="center"/>
              <w:rPr>
                <w:rFonts w:hint="eastAsia"/>
                <w:sz w:val="19"/>
              </w:rPr>
            </w:pPr>
            <w:r>
              <w:rPr>
                <w:rFonts w:hint="eastAsia"/>
                <w:sz w:val="19"/>
              </w:rPr>
              <w:t>34204</w:t>
            </w:r>
          </w:p>
        </w:tc>
        <w:tc>
          <w:tcPr>
            <w:tcW w:w="472" w:type="pct"/>
            <w:shd w:val="clear" w:color="auto" w:fill="auto"/>
            <w:noWrap/>
            <w:vAlign w:val="center"/>
          </w:tcPr>
          <w:p>
            <w:pPr>
              <w:spacing w:line="240" w:lineRule="auto"/>
              <w:jc w:val="center"/>
              <w:rPr>
                <w:rFonts w:hint="eastAsia"/>
                <w:sz w:val="19"/>
              </w:rPr>
            </w:pPr>
            <w:r>
              <w:rPr>
                <w:rFonts w:hint="eastAsia"/>
                <w:sz w:val="19"/>
              </w:rPr>
              <w:t>37163</w:t>
            </w:r>
          </w:p>
        </w:tc>
        <w:tc>
          <w:tcPr>
            <w:tcW w:w="472" w:type="pct"/>
            <w:shd w:val="clear" w:color="auto" w:fill="auto"/>
            <w:noWrap/>
            <w:vAlign w:val="center"/>
          </w:tcPr>
          <w:p>
            <w:pPr>
              <w:spacing w:line="240" w:lineRule="auto"/>
              <w:jc w:val="center"/>
              <w:rPr>
                <w:rFonts w:hint="eastAsia"/>
                <w:sz w:val="19"/>
              </w:rPr>
            </w:pPr>
            <w:r>
              <w:rPr>
                <w:rFonts w:hint="eastAsia"/>
                <w:sz w:val="19"/>
              </w:rPr>
              <w:t>40026</w:t>
            </w:r>
          </w:p>
        </w:tc>
        <w:tc>
          <w:tcPr>
            <w:tcW w:w="472" w:type="pct"/>
            <w:shd w:val="clear" w:color="auto" w:fill="auto"/>
            <w:noWrap/>
            <w:vAlign w:val="center"/>
          </w:tcPr>
          <w:p>
            <w:pPr>
              <w:spacing w:line="240" w:lineRule="auto"/>
              <w:jc w:val="center"/>
              <w:rPr>
                <w:rFonts w:hint="eastAsia"/>
                <w:sz w:val="19"/>
              </w:rPr>
            </w:pPr>
            <w:r>
              <w:rPr>
                <w:rFonts w:hint="eastAsia"/>
                <w:sz w:val="19"/>
              </w:rPr>
              <w:t>43059</w:t>
            </w:r>
          </w:p>
        </w:tc>
        <w:tc>
          <w:tcPr>
            <w:tcW w:w="472" w:type="pct"/>
            <w:shd w:val="clear" w:color="auto" w:fill="auto"/>
            <w:noWrap/>
            <w:vAlign w:val="center"/>
          </w:tcPr>
          <w:p>
            <w:pPr>
              <w:spacing w:line="240" w:lineRule="auto"/>
              <w:jc w:val="center"/>
              <w:rPr>
                <w:rFonts w:hint="eastAsia"/>
                <w:sz w:val="19"/>
              </w:rPr>
            </w:pPr>
            <w:r>
              <w:rPr>
                <w:rFonts w:hint="eastAsia"/>
                <w:sz w:val="19"/>
              </w:rPr>
              <w:t>46085</w:t>
            </w:r>
          </w:p>
        </w:tc>
        <w:tc>
          <w:tcPr>
            <w:tcW w:w="472" w:type="pct"/>
            <w:shd w:val="clear" w:color="auto" w:fill="auto"/>
            <w:noWrap/>
            <w:vAlign w:val="center"/>
          </w:tcPr>
          <w:p>
            <w:pPr>
              <w:spacing w:line="240" w:lineRule="auto"/>
              <w:jc w:val="center"/>
              <w:rPr>
                <w:rFonts w:hint="eastAsia"/>
                <w:sz w:val="19"/>
              </w:rPr>
            </w:pPr>
            <w:r>
              <w:rPr>
                <w:rFonts w:hint="eastAsia"/>
                <w:sz w:val="19"/>
              </w:rPr>
              <w:t>49175</w:t>
            </w:r>
          </w:p>
        </w:tc>
        <w:tc>
          <w:tcPr>
            <w:tcW w:w="472" w:type="pct"/>
            <w:shd w:val="clear" w:color="auto" w:fill="auto"/>
            <w:noWrap/>
            <w:vAlign w:val="center"/>
          </w:tcPr>
          <w:p>
            <w:pPr>
              <w:spacing w:line="240" w:lineRule="auto"/>
              <w:jc w:val="center"/>
              <w:rPr>
                <w:rFonts w:hint="eastAsia"/>
                <w:sz w:val="19"/>
              </w:rPr>
            </w:pPr>
            <w:r>
              <w:rPr>
                <w:rFonts w:hint="eastAsia"/>
                <w:sz w:val="19"/>
              </w:rPr>
              <w:t>51452</w:t>
            </w:r>
          </w:p>
        </w:tc>
        <w:tc>
          <w:tcPr>
            <w:tcW w:w="473" w:type="pct"/>
            <w:shd w:val="clear" w:color="auto" w:fill="auto"/>
            <w:noWrap/>
            <w:vAlign w:val="center"/>
          </w:tcPr>
          <w:p>
            <w:pPr>
              <w:spacing w:line="240" w:lineRule="auto"/>
              <w:jc w:val="center"/>
              <w:rPr>
                <w:rFonts w:hint="eastAsia"/>
                <w:sz w:val="19"/>
              </w:rPr>
            </w:pPr>
            <w:r>
              <w:rPr>
                <w:rFonts w:hint="eastAsia"/>
                <w:sz w:val="19"/>
              </w:rPr>
              <w:t>54256</w:t>
            </w:r>
          </w:p>
        </w:tc>
        <w:tc>
          <w:tcPr>
            <w:tcW w:w="469" w:type="pct"/>
            <w:vAlign w:val="center"/>
          </w:tcPr>
          <w:p>
            <w:pPr>
              <w:spacing w:line="240" w:lineRule="auto"/>
              <w:jc w:val="center"/>
              <w:rPr>
                <w:rFonts w:hint="eastAsia"/>
                <w:sz w:val="19"/>
              </w:rPr>
            </w:pPr>
            <w:r>
              <w:rPr>
                <w:sz w:val="19"/>
              </w:rPr>
              <w:t>56880</w:t>
            </w:r>
          </w:p>
        </w:tc>
      </w:tr>
    </w:tbl>
    <w:p>
      <w:pPr>
        <w:spacing w:line="360" w:lineRule="auto"/>
        <w:jc w:val="center"/>
        <w:rPr>
          <w:rFonts w:hint="eastAsia" w:cs="仿宋_GB2312"/>
          <w:szCs w:val="22"/>
        </w:rPr>
      </w:pPr>
      <w:r>
        <w:rPr>
          <w:rFonts w:hint="eastAsia" w:cs="仿宋_GB2312"/>
          <w:szCs w:val="22"/>
        </w:rPr>
        <w:drawing>
          <wp:inline distT="0" distB="0" distL="0" distR="0">
            <wp:extent cx="4584700" cy="2749550"/>
            <wp:effectExtent l="0" t="0" r="6350" b="0"/>
            <wp:docPr id="581360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36065" name="图片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4584700" cy="2749550"/>
                    </a:xfrm>
                    <a:prstGeom prst="rect">
                      <a:avLst/>
                    </a:prstGeom>
                    <a:noFill/>
                  </pic:spPr>
                </pic:pic>
              </a:graphicData>
            </a:graphic>
          </wp:inline>
        </w:drawing>
      </w:r>
    </w:p>
    <w:p>
      <w:pPr>
        <w:pStyle w:val="8"/>
      </w:pPr>
      <w:r>
        <w:rPr>
          <w:rFonts w:hint="eastAsia"/>
        </w:rPr>
        <w:t>桓仁满族自治县汽车历史年保有量</w:t>
      </w:r>
    </w:p>
    <w:p>
      <w:pPr>
        <w:spacing w:line="360" w:lineRule="auto"/>
        <w:ind w:firstLine="560" w:firstLineChars="200"/>
        <w:rPr>
          <w:rFonts w:hint="eastAsia"/>
        </w:rPr>
      </w:pPr>
      <w:r>
        <w:rPr>
          <w:rFonts w:hint="eastAsia"/>
        </w:rPr>
        <w:t>桓仁满族自治县经济社会平稳发展，道路运输网络逐步完善，城市公共交通设施日益健全，居民消费能力不断提升，成为机动车持续增加的重要推手。</w:t>
      </w:r>
    </w:p>
    <w:p>
      <w:pPr>
        <w:spacing w:line="360" w:lineRule="auto"/>
        <w:ind w:firstLine="560" w:firstLineChars="200"/>
        <w:rPr>
          <w:rFonts w:hint="eastAsia"/>
        </w:rPr>
      </w:pPr>
      <w:r>
        <w:rPr>
          <w:rFonts w:hint="eastAsia"/>
        </w:rPr>
        <w:t>截至2023年底，桓仁满族自治县共有电动汽车363辆，占机动车比例为</w:t>
      </w:r>
      <w:r>
        <w:t>0</w:t>
      </w:r>
      <w:r>
        <w:rPr>
          <w:rFonts w:hint="eastAsia"/>
        </w:rPr>
        <w:t>.63%。电动汽车中占比前三的分别是私家车265辆，占比73.06%；出租车51辆，占比</w:t>
      </w:r>
      <w:r>
        <w:t>1</w:t>
      </w:r>
      <w:r>
        <w:rPr>
          <w:rFonts w:hint="eastAsia"/>
        </w:rPr>
        <w:t>4</w:t>
      </w:r>
      <w:r>
        <w:t>.</w:t>
      </w:r>
      <w:r>
        <w:rPr>
          <w:rFonts w:hint="eastAsia"/>
        </w:rPr>
        <w:t>5%；公交车29辆，占比7.93%。各类型电动汽车历史年保有量见下表：</w:t>
      </w:r>
    </w:p>
    <w:p>
      <w:pPr>
        <w:pStyle w:val="7"/>
      </w:pPr>
      <w:r>
        <w:rPr>
          <w:rFonts w:hint="eastAsia"/>
        </w:rPr>
        <w:t>桓仁满族自治县电动汽车历史年保有量</w:t>
      </w:r>
    </w:p>
    <w:p>
      <w:pPr>
        <w:pStyle w:val="7"/>
        <w:numPr>
          <w:ilvl w:val="0"/>
          <w:numId w:val="0"/>
        </w:numPr>
        <w:jc w:val="right"/>
      </w:pPr>
      <w:r>
        <w:rPr>
          <w:rFonts w:hint="eastAsia"/>
        </w:rPr>
        <w:t>单位：辆</w:t>
      </w: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2446"/>
        <w:gridCol w:w="985"/>
        <w:gridCol w:w="987"/>
        <w:gridCol w:w="987"/>
        <w:gridCol w:w="987"/>
        <w:gridCol w:w="985"/>
        <w:gridCol w:w="98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1463" w:type="pct"/>
            <w:shd w:val="clear" w:color="auto" w:fill="D9D9D9"/>
            <w:vAlign w:val="center"/>
          </w:tcPr>
          <w:p>
            <w:pPr>
              <w:spacing w:line="240" w:lineRule="auto"/>
              <w:jc w:val="center"/>
              <w:rPr>
                <w:rFonts w:hint="eastAsia"/>
                <w:b/>
                <w:sz w:val="19"/>
              </w:rPr>
            </w:pPr>
            <w:r>
              <w:rPr>
                <w:rFonts w:hint="eastAsia"/>
                <w:b/>
                <w:sz w:val="19"/>
              </w:rPr>
              <w:t>类型</w:t>
            </w:r>
          </w:p>
        </w:tc>
        <w:tc>
          <w:tcPr>
            <w:tcW w:w="589" w:type="pct"/>
            <w:shd w:val="clear" w:color="auto" w:fill="D9D9D9"/>
            <w:vAlign w:val="center"/>
          </w:tcPr>
          <w:p>
            <w:pPr>
              <w:spacing w:line="240" w:lineRule="auto"/>
              <w:jc w:val="center"/>
              <w:rPr>
                <w:rFonts w:hint="eastAsia"/>
                <w:b/>
                <w:sz w:val="19"/>
              </w:rPr>
            </w:pPr>
            <w:r>
              <w:rPr>
                <w:rFonts w:hint="eastAsia"/>
                <w:b/>
                <w:sz w:val="19"/>
              </w:rPr>
              <w:t>2018年</w:t>
            </w:r>
          </w:p>
        </w:tc>
        <w:tc>
          <w:tcPr>
            <w:tcW w:w="590" w:type="pct"/>
            <w:shd w:val="clear" w:color="auto" w:fill="D9D9D9"/>
            <w:vAlign w:val="center"/>
          </w:tcPr>
          <w:p>
            <w:pPr>
              <w:spacing w:line="240" w:lineRule="auto"/>
              <w:jc w:val="center"/>
              <w:rPr>
                <w:rFonts w:hint="eastAsia"/>
                <w:b/>
                <w:sz w:val="19"/>
              </w:rPr>
            </w:pPr>
            <w:r>
              <w:rPr>
                <w:rFonts w:hint="eastAsia"/>
                <w:b/>
                <w:sz w:val="19"/>
              </w:rPr>
              <w:t>2019年</w:t>
            </w:r>
          </w:p>
        </w:tc>
        <w:tc>
          <w:tcPr>
            <w:tcW w:w="590" w:type="pct"/>
            <w:shd w:val="clear" w:color="auto" w:fill="D9D9D9"/>
            <w:vAlign w:val="center"/>
          </w:tcPr>
          <w:p>
            <w:pPr>
              <w:spacing w:line="240" w:lineRule="auto"/>
              <w:jc w:val="center"/>
              <w:rPr>
                <w:rFonts w:hint="eastAsia"/>
                <w:b/>
                <w:sz w:val="19"/>
              </w:rPr>
            </w:pPr>
            <w:r>
              <w:rPr>
                <w:rFonts w:hint="eastAsia"/>
                <w:b/>
                <w:sz w:val="19"/>
              </w:rPr>
              <w:t>2020年</w:t>
            </w:r>
          </w:p>
        </w:tc>
        <w:tc>
          <w:tcPr>
            <w:tcW w:w="590" w:type="pct"/>
            <w:shd w:val="clear" w:color="auto" w:fill="D9D9D9"/>
            <w:vAlign w:val="center"/>
          </w:tcPr>
          <w:p>
            <w:pPr>
              <w:spacing w:line="240" w:lineRule="auto"/>
              <w:jc w:val="center"/>
              <w:rPr>
                <w:rFonts w:hint="eastAsia"/>
                <w:b/>
                <w:sz w:val="19"/>
              </w:rPr>
            </w:pPr>
            <w:r>
              <w:rPr>
                <w:rFonts w:hint="eastAsia"/>
                <w:b/>
                <w:sz w:val="19"/>
              </w:rPr>
              <w:t>2021年</w:t>
            </w:r>
          </w:p>
        </w:tc>
        <w:tc>
          <w:tcPr>
            <w:tcW w:w="589" w:type="pct"/>
            <w:shd w:val="clear" w:color="auto" w:fill="D9D9D9"/>
            <w:vAlign w:val="center"/>
          </w:tcPr>
          <w:p>
            <w:pPr>
              <w:spacing w:line="240" w:lineRule="auto"/>
              <w:jc w:val="center"/>
              <w:rPr>
                <w:rFonts w:hint="eastAsia"/>
                <w:b/>
                <w:sz w:val="19"/>
              </w:rPr>
            </w:pPr>
            <w:r>
              <w:rPr>
                <w:rFonts w:hint="eastAsia"/>
                <w:b/>
                <w:sz w:val="19"/>
              </w:rPr>
              <w:t>2022年</w:t>
            </w:r>
          </w:p>
        </w:tc>
        <w:tc>
          <w:tcPr>
            <w:tcW w:w="589" w:type="pct"/>
            <w:shd w:val="clear" w:color="auto" w:fill="D9D9D9"/>
          </w:tcPr>
          <w:p>
            <w:pPr>
              <w:spacing w:line="240" w:lineRule="auto"/>
              <w:jc w:val="center"/>
              <w:rPr>
                <w:rFonts w:hint="eastAsia"/>
                <w:b/>
                <w:sz w:val="19"/>
              </w:rPr>
            </w:pPr>
            <w:r>
              <w:rPr>
                <w:rFonts w:hint="eastAsia"/>
                <w:b/>
                <w:sz w:val="19"/>
              </w:rPr>
              <w:t>2023年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463" w:type="pct"/>
            <w:shd w:val="clear" w:color="auto" w:fill="auto"/>
            <w:vAlign w:val="center"/>
          </w:tcPr>
          <w:p>
            <w:pPr>
              <w:spacing w:line="240" w:lineRule="auto"/>
              <w:jc w:val="center"/>
              <w:rPr>
                <w:rFonts w:hint="eastAsia"/>
                <w:sz w:val="19"/>
              </w:rPr>
            </w:pPr>
            <w:r>
              <w:rPr>
                <w:rFonts w:hint="eastAsia"/>
                <w:sz w:val="19"/>
              </w:rPr>
              <w:t>私家车</w:t>
            </w:r>
          </w:p>
        </w:tc>
        <w:tc>
          <w:tcPr>
            <w:tcW w:w="589" w:type="pct"/>
            <w:shd w:val="clear" w:color="auto" w:fill="auto"/>
            <w:noWrap/>
            <w:vAlign w:val="center"/>
          </w:tcPr>
          <w:p>
            <w:pPr>
              <w:spacing w:line="240" w:lineRule="auto"/>
              <w:jc w:val="center"/>
              <w:rPr>
                <w:rFonts w:hint="eastAsia"/>
                <w:sz w:val="19"/>
              </w:rPr>
            </w:pPr>
            <w:r>
              <w:rPr>
                <w:rFonts w:hint="eastAsia"/>
                <w:sz w:val="19"/>
              </w:rPr>
              <w:t>29</w:t>
            </w:r>
          </w:p>
        </w:tc>
        <w:tc>
          <w:tcPr>
            <w:tcW w:w="590" w:type="pct"/>
            <w:shd w:val="clear" w:color="auto" w:fill="auto"/>
            <w:noWrap/>
            <w:vAlign w:val="center"/>
          </w:tcPr>
          <w:p>
            <w:pPr>
              <w:spacing w:line="240" w:lineRule="auto"/>
              <w:jc w:val="center"/>
              <w:rPr>
                <w:rFonts w:hint="eastAsia"/>
                <w:sz w:val="19"/>
              </w:rPr>
            </w:pPr>
            <w:r>
              <w:rPr>
                <w:rFonts w:hint="eastAsia"/>
                <w:sz w:val="19"/>
              </w:rPr>
              <w:t>49</w:t>
            </w:r>
          </w:p>
        </w:tc>
        <w:tc>
          <w:tcPr>
            <w:tcW w:w="590" w:type="pct"/>
            <w:shd w:val="clear" w:color="auto" w:fill="auto"/>
            <w:noWrap/>
            <w:vAlign w:val="center"/>
          </w:tcPr>
          <w:p>
            <w:pPr>
              <w:spacing w:line="240" w:lineRule="auto"/>
              <w:jc w:val="center"/>
              <w:rPr>
                <w:rFonts w:hint="eastAsia"/>
                <w:sz w:val="19"/>
              </w:rPr>
            </w:pPr>
            <w:r>
              <w:rPr>
                <w:rFonts w:hint="eastAsia"/>
                <w:sz w:val="19"/>
              </w:rPr>
              <w:t>68</w:t>
            </w:r>
          </w:p>
        </w:tc>
        <w:tc>
          <w:tcPr>
            <w:tcW w:w="590" w:type="pct"/>
            <w:shd w:val="clear" w:color="auto" w:fill="auto"/>
            <w:noWrap/>
            <w:vAlign w:val="center"/>
          </w:tcPr>
          <w:p>
            <w:pPr>
              <w:spacing w:line="240" w:lineRule="auto"/>
              <w:jc w:val="center"/>
              <w:rPr>
                <w:rFonts w:hint="eastAsia"/>
                <w:sz w:val="19"/>
              </w:rPr>
            </w:pPr>
            <w:r>
              <w:rPr>
                <w:rFonts w:hint="eastAsia"/>
                <w:sz w:val="19"/>
              </w:rPr>
              <w:t>101</w:t>
            </w:r>
          </w:p>
        </w:tc>
        <w:tc>
          <w:tcPr>
            <w:tcW w:w="589" w:type="pct"/>
            <w:shd w:val="clear" w:color="auto" w:fill="auto"/>
            <w:noWrap/>
            <w:vAlign w:val="center"/>
          </w:tcPr>
          <w:p>
            <w:pPr>
              <w:spacing w:line="240" w:lineRule="auto"/>
              <w:jc w:val="center"/>
              <w:rPr>
                <w:rFonts w:hint="eastAsia"/>
                <w:sz w:val="19"/>
              </w:rPr>
            </w:pPr>
            <w:r>
              <w:rPr>
                <w:rFonts w:hint="eastAsia"/>
                <w:sz w:val="19"/>
              </w:rPr>
              <w:t>143</w:t>
            </w:r>
          </w:p>
        </w:tc>
        <w:tc>
          <w:tcPr>
            <w:tcW w:w="589" w:type="pct"/>
            <w:vAlign w:val="center"/>
          </w:tcPr>
          <w:p>
            <w:pPr>
              <w:spacing w:line="240" w:lineRule="auto"/>
              <w:jc w:val="center"/>
              <w:rPr>
                <w:rFonts w:hint="eastAsia"/>
                <w:sz w:val="19"/>
              </w:rPr>
            </w:pPr>
            <w:r>
              <w:rPr>
                <w:rFonts w:ascii="Times New Roman" w:hAnsi="Times New Roman" w:eastAsia="等线"/>
                <w:color w:val="000000"/>
                <w:sz w:val="19"/>
                <w:szCs w:val="19"/>
              </w:rPr>
              <w:t xml:space="preserve">265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463" w:type="pct"/>
            <w:shd w:val="clear" w:color="auto" w:fill="auto"/>
            <w:vAlign w:val="center"/>
          </w:tcPr>
          <w:p>
            <w:pPr>
              <w:spacing w:line="240" w:lineRule="auto"/>
              <w:jc w:val="center"/>
              <w:rPr>
                <w:rFonts w:hint="eastAsia"/>
                <w:sz w:val="19"/>
              </w:rPr>
            </w:pPr>
            <w:r>
              <w:rPr>
                <w:rFonts w:hint="eastAsia"/>
                <w:sz w:val="19"/>
              </w:rPr>
              <w:t>网约车</w:t>
            </w:r>
          </w:p>
        </w:tc>
        <w:tc>
          <w:tcPr>
            <w:tcW w:w="589" w:type="pct"/>
            <w:shd w:val="clear" w:color="auto" w:fill="auto"/>
            <w:noWrap/>
            <w:vAlign w:val="center"/>
          </w:tcPr>
          <w:p>
            <w:pPr>
              <w:spacing w:line="240" w:lineRule="auto"/>
              <w:jc w:val="center"/>
              <w:rPr>
                <w:rFonts w:hint="eastAsia"/>
                <w:sz w:val="19"/>
              </w:rPr>
            </w:pPr>
            <w:r>
              <w:rPr>
                <w:rFonts w:hint="eastAsia"/>
                <w:sz w:val="19"/>
              </w:rPr>
              <w:t>0</w:t>
            </w:r>
          </w:p>
        </w:tc>
        <w:tc>
          <w:tcPr>
            <w:tcW w:w="590" w:type="pct"/>
            <w:shd w:val="clear" w:color="auto" w:fill="auto"/>
            <w:noWrap/>
            <w:vAlign w:val="center"/>
          </w:tcPr>
          <w:p>
            <w:pPr>
              <w:spacing w:line="240" w:lineRule="auto"/>
              <w:jc w:val="center"/>
              <w:rPr>
                <w:rFonts w:hint="eastAsia"/>
                <w:sz w:val="19"/>
              </w:rPr>
            </w:pPr>
            <w:r>
              <w:rPr>
                <w:rFonts w:hint="eastAsia"/>
                <w:sz w:val="19"/>
              </w:rPr>
              <w:t>0</w:t>
            </w:r>
          </w:p>
        </w:tc>
        <w:tc>
          <w:tcPr>
            <w:tcW w:w="590" w:type="pct"/>
            <w:shd w:val="clear" w:color="auto" w:fill="auto"/>
            <w:noWrap/>
            <w:vAlign w:val="center"/>
          </w:tcPr>
          <w:p>
            <w:pPr>
              <w:spacing w:line="240" w:lineRule="auto"/>
              <w:jc w:val="center"/>
              <w:rPr>
                <w:rFonts w:hint="eastAsia"/>
                <w:sz w:val="19"/>
              </w:rPr>
            </w:pPr>
            <w:r>
              <w:rPr>
                <w:rFonts w:hint="eastAsia"/>
                <w:sz w:val="19"/>
              </w:rPr>
              <w:t>0</w:t>
            </w:r>
          </w:p>
        </w:tc>
        <w:tc>
          <w:tcPr>
            <w:tcW w:w="590" w:type="pct"/>
            <w:shd w:val="clear" w:color="auto" w:fill="auto"/>
            <w:noWrap/>
            <w:vAlign w:val="center"/>
          </w:tcPr>
          <w:p>
            <w:pPr>
              <w:spacing w:line="240" w:lineRule="auto"/>
              <w:jc w:val="center"/>
              <w:rPr>
                <w:rFonts w:hint="eastAsia"/>
                <w:sz w:val="19"/>
              </w:rPr>
            </w:pPr>
            <w:r>
              <w:rPr>
                <w:rFonts w:hint="eastAsia"/>
                <w:sz w:val="19"/>
              </w:rPr>
              <w:t>0</w:t>
            </w:r>
          </w:p>
        </w:tc>
        <w:tc>
          <w:tcPr>
            <w:tcW w:w="589" w:type="pct"/>
            <w:shd w:val="clear" w:color="auto" w:fill="auto"/>
            <w:noWrap/>
            <w:vAlign w:val="center"/>
          </w:tcPr>
          <w:p>
            <w:pPr>
              <w:spacing w:line="240" w:lineRule="auto"/>
              <w:jc w:val="center"/>
              <w:rPr>
                <w:rFonts w:hint="eastAsia"/>
                <w:sz w:val="19"/>
              </w:rPr>
            </w:pPr>
            <w:r>
              <w:rPr>
                <w:rFonts w:hint="eastAsia"/>
                <w:sz w:val="19"/>
              </w:rPr>
              <w:t>0</w:t>
            </w:r>
          </w:p>
        </w:tc>
        <w:tc>
          <w:tcPr>
            <w:tcW w:w="589" w:type="pct"/>
            <w:vAlign w:val="center"/>
          </w:tcPr>
          <w:p>
            <w:pPr>
              <w:spacing w:line="240" w:lineRule="auto"/>
              <w:jc w:val="center"/>
              <w:rPr>
                <w:rFonts w:hint="eastAsia"/>
                <w:sz w:val="19"/>
              </w:rPr>
            </w:pPr>
            <w:r>
              <w:rPr>
                <w:rFonts w:hint="eastAsia" w:ascii="Times New Roman" w:hAnsi="Times New Roman" w:eastAsia="等线"/>
                <w:color w:val="000000"/>
                <w:sz w:val="19"/>
                <w:szCs w:val="19"/>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463" w:type="pct"/>
            <w:shd w:val="clear" w:color="auto" w:fill="auto"/>
            <w:vAlign w:val="center"/>
          </w:tcPr>
          <w:p>
            <w:pPr>
              <w:spacing w:line="240" w:lineRule="auto"/>
              <w:jc w:val="center"/>
              <w:rPr>
                <w:rFonts w:hint="eastAsia"/>
                <w:sz w:val="19"/>
              </w:rPr>
            </w:pPr>
            <w:r>
              <w:rPr>
                <w:rFonts w:hint="eastAsia"/>
                <w:sz w:val="19"/>
              </w:rPr>
              <w:t>租赁车</w:t>
            </w:r>
          </w:p>
        </w:tc>
        <w:tc>
          <w:tcPr>
            <w:tcW w:w="589" w:type="pct"/>
            <w:shd w:val="clear" w:color="auto" w:fill="auto"/>
            <w:noWrap/>
            <w:vAlign w:val="center"/>
          </w:tcPr>
          <w:p>
            <w:pPr>
              <w:spacing w:line="240" w:lineRule="auto"/>
              <w:jc w:val="center"/>
              <w:rPr>
                <w:rFonts w:hint="eastAsia"/>
                <w:sz w:val="19"/>
              </w:rPr>
            </w:pPr>
            <w:r>
              <w:rPr>
                <w:rFonts w:hint="eastAsia"/>
                <w:sz w:val="19"/>
              </w:rPr>
              <w:t>0</w:t>
            </w:r>
          </w:p>
        </w:tc>
        <w:tc>
          <w:tcPr>
            <w:tcW w:w="590" w:type="pct"/>
            <w:shd w:val="clear" w:color="auto" w:fill="auto"/>
            <w:noWrap/>
            <w:vAlign w:val="center"/>
          </w:tcPr>
          <w:p>
            <w:pPr>
              <w:spacing w:line="240" w:lineRule="auto"/>
              <w:jc w:val="center"/>
              <w:rPr>
                <w:rFonts w:hint="eastAsia"/>
                <w:sz w:val="19"/>
              </w:rPr>
            </w:pPr>
            <w:r>
              <w:rPr>
                <w:rFonts w:hint="eastAsia"/>
                <w:sz w:val="19"/>
              </w:rPr>
              <w:t>0</w:t>
            </w:r>
          </w:p>
        </w:tc>
        <w:tc>
          <w:tcPr>
            <w:tcW w:w="590" w:type="pct"/>
            <w:shd w:val="clear" w:color="auto" w:fill="auto"/>
            <w:noWrap/>
            <w:vAlign w:val="center"/>
          </w:tcPr>
          <w:p>
            <w:pPr>
              <w:spacing w:line="240" w:lineRule="auto"/>
              <w:jc w:val="center"/>
              <w:rPr>
                <w:rFonts w:hint="eastAsia"/>
                <w:sz w:val="19"/>
              </w:rPr>
            </w:pPr>
            <w:r>
              <w:rPr>
                <w:rFonts w:hint="eastAsia"/>
                <w:sz w:val="19"/>
              </w:rPr>
              <w:t>0</w:t>
            </w:r>
          </w:p>
        </w:tc>
        <w:tc>
          <w:tcPr>
            <w:tcW w:w="590" w:type="pct"/>
            <w:shd w:val="clear" w:color="auto" w:fill="auto"/>
            <w:noWrap/>
            <w:vAlign w:val="center"/>
          </w:tcPr>
          <w:p>
            <w:pPr>
              <w:spacing w:line="240" w:lineRule="auto"/>
              <w:jc w:val="center"/>
              <w:rPr>
                <w:rFonts w:hint="eastAsia"/>
                <w:sz w:val="19"/>
              </w:rPr>
            </w:pPr>
            <w:r>
              <w:rPr>
                <w:rFonts w:hint="eastAsia"/>
                <w:sz w:val="19"/>
              </w:rPr>
              <w:t>0</w:t>
            </w:r>
          </w:p>
        </w:tc>
        <w:tc>
          <w:tcPr>
            <w:tcW w:w="589" w:type="pct"/>
            <w:shd w:val="clear" w:color="auto" w:fill="auto"/>
            <w:noWrap/>
            <w:vAlign w:val="center"/>
          </w:tcPr>
          <w:p>
            <w:pPr>
              <w:spacing w:line="240" w:lineRule="auto"/>
              <w:jc w:val="center"/>
              <w:rPr>
                <w:rFonts w:hint="eastAsia"/>
                <w:sz w:val="19"/>
              </w:rPr>
            </w:pPr>
            <w:r>
              <w:rPr>
                <w:rFonts w:hint="eastAsia"/>
                <w:sz w:val="19"/>
              </w:rPr>
              <w:t>0</w:t>
            </w:r>
          </w:p>
        </w:tc>
        <w:tc>
          <w:tcPr>
            <w:tcW w:w="589" w:type="pct"/>
            <w:vAlign w:val="center"/>
          </w:tcPr>
          <w:p>
            <w:pPr>
              <w:spacing w:line="240" w:lineRule="auto"/>
              <w:jc w:val="center"/>
              <w:rPr>
                <w:rFonts w:hint="eastAsia"/>
                <w:sz w:val="19"/>
              </w:rPr>
            </w:pPr>
            <w:r>
              <w:rPr>
                <w:rFonts w:hint="eastAsia" w:ascii="Times New Roman" w:hAnsi="Times New Roman" w:eastAsia="等线"/>
                <w:color w:val="000000"/>
                <w:sz w:val="19"/>
                <w:szCs w:val="19"/>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463" w:type="pct"/>
            <w:shd w:val="clear" w:color="auto" w:fill="auto"/>
            <w:vAlign w:val="center"/>
          </w:tcPr>
          <w:p>
            <w:pPr>
              <w:spacing w:line="240" w:lineRule="auto"/>
              <w:jc w:val="center"/>
              <w:rPr>
                <w:rFonts w:hint="eastAsia"/>
                <w:sz w:val="19"/>
              </w:rPr>
            </w:pPr>
            <w:r>
              <w:rPr>
                <w:rFonts w:hint="eastAsia"/>
                <w:sz w:val="19"/>
              </w:rPr>
              <w:t>公交车</w:t>
            </w:r>
          </w:p>
        </w:tc>
        <w:tc>
          <w:tcPr>
            <w:tcW w:w="589" w:type="pct"/>
            <w:shd w:val="clear" w:color="auto" w:fill="auto"/>
            <w:noWrap/>
            <w:vAlign w:val="center"/>
          </w:tcPr>
          <w:p>
            <w:pPr>
              <w:spacing w:line="240" w:lineRule="auto"/>
              <w:jc w:val="center"/>
              <w:rPr>
                <w:rFonts w:hint="eastAsia"/>
                <w:sz w:val="19"/>
              </w:rPr>
            </w:pPr>
            <w:r>
              <w:rPr>
                <w:rFonts w:hint="eastAsia"/>
                <w:sz w:val="19"/>
              </w:rPr>
              <w:t>0</w:t>
            </w:r>
          </w:p>
        </w:tc>
        <w:tc>
          <w:tcPr>
            <w:tcW w:w="590" w:type="pct"/>
            <w:shd w:val="clear" w:color="auto" w:fill="auto"/>
            <w:noWrap/>
            <w:vAlign w:val="center"/>
          </w:tcPr>
          <w:p>
            <w:pPr>
              <w:spacing w:line="240" w:lineRule="auto"/>
              <w:jc w:val="center"/>
              <w:rPr>
                <w:rFonts w:hint="eastAsia"/>
                <w:sz w:val="19"/>
              </w:rPr>
            </w:pPr>
            <w:r>
              <w:rPr>
                <w:rFonts w:hint="eastAsia"/>
                <w:sz w:val="19"/>
              </w:rPr>
              <w:t>0</w:t>
            </w:r>
          </w:p>
        </w:tc>
        <w:tc>
          <w:tcPr>
            <w:tcW w:w="590" w:type="pct"/>
            <w:shd w:val="clear" w:color="auto" w:fill="auto"/>
            <w:noWrap/>
            <w:vAlign w:val="center"/>
          </w:tcPr>
          <w:p>
            <w:pPr>
              <w:spacing w:line="240" w:lineRule="auto"/>
              <w:jc w:val="center"/>
              <w:rPr>
                <w:rFonts w:hint="eastAsia"/>
                <w:sz w:val="19"/>
              </w:rPr>
            </w:pPr>
            <w:r>
              <w:rPr>
                <w:rFonts w:hint="eastAsia"/>
                <w:sz w:val="19"/>
              </w:rPr>
              <w:t>0</w:t>
            </w:r>
          </w:p>
        </w:tc>
        <w:tc>
          <w:tcPr>
            <w:tcW w:w="590" w:type="pct"/>
            <w:shd w:val="clear" w:color="auto" w:fill="auto"/>
            <w:noWrap/>
            <w:vAlign w:val="center"/>
          </w:tcPr>
          <w:p>
            <w:pPr>
              <w:spacing w:line="240" w:lineRule="auto"/>
              <w:jc w:val="center"/>
              <w:rPr>
                <w:rFonts w:hint="eastAsia"/>
                <w:sz w:val="19"/>
              </w:rPr>
            </w:pPr>
            <w:r>
              <w:rPr>
                <w:rFonts w:hint="eastAsia"/>
                <w:sz w:val="19"/>
              </w:rPr>
              <w:t>20</w:t>
            </w:r>
          </w:p>
        </w:tc>
        <w:tc>
          <w:tcPr>
            <w:tcW w:w="589" w:type="pct"/>
            <w:shd w:val="clear" w:color="auto" w:fill="auto"/>
            <w:noWrap/>
            <w:vAlign w:val="center"/>
          </w:tcPr>
          <w:p>
            <w:pPr>
              <w:spacing w:line="240" w:lineRule="auto"/>
              <w:jc w:val="center"/>
              <w:rPr>
                <w:rFonts w:hint="eastAsia"/>
                <w:sz w:val="19"/>
              </w:rPr>
            </w:pPr>
            <w:r>
              <w:rPr>
                <w:rFonts w:hint="eastAsia"/>
                <w:sz w:val="19"/>
              </w:rPr>
              <w:t>24</w:t>
            </w:r>
          </w:p>
        </w:tc>
        <w:tc>
          <w:tcPr>
            <w:tcW w:w="589" w:type="pct"/>
            <w:vAlign w:val="center"/>
          </w:tcPr>
          <w:p>
            <w:pPr>
              <w:spacing w:line="240" w:lineRule="auto"/>
              <w:jc w:val="center"/>
              <w:rPr>
                <w:rFonts w:hint="eastAsia"/>
                <w:sz w:val="19"/>
              </w:rPr>
            </w:pPr>
            <w:r>
              <w:rPr>
                <w:rFonts w:ascii="Times New Roman" w:hAnsi="Times New Roman" w:eastAsia="等线"/>
                <w:color w:val="000000"/>
                <w:sz w:val="19"/>
                <w:szCs w:val="19"/>
              </w:rPr>
              <w:t xml:space="preserve">29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463" w:type="pct"/>
            <w:shd w:val="clear" w:color="auto" w:fill="auto"/>
            <w:vAlign w:val="center"/>
          </w:tcPr>
          <w:p>
            <w:pPr>
              <w:spacing w:line="240" w:lineRule="auto"/>
              <w:jc w:val="center"/>
              <w:rPr>
                <w:rFonts w:hint="eastAsia"/>
                <w:sz w:val="19"/>
              </w:rPr>
            </w:pPr>
            <w:r>
              <w:rPr>
                <w:rFonts w:hint="eastAsia"/>
                <w:sz w:val="19"/>
              </w:rPr>
              <w:t>环卫车</w:t>
            </w:r>
          </w:p>
        </w:tc>
        <w:tc>
          <w:tcPr>
            <w:tcW w:w="589" w:type="pct"/>
            <w:shd w:val="clear" w:color="auto" w:fill="auto"/>
            <w:noWrap/>
            <w:vAlign w:val="center"/>
          </w:tcPr>
          <w:p>
            <w:pPr>
              <w:spacing w:line="240" w:lineRule="auto"/>
              <w:jc w:val="center"/>
              <w:rPr>
                <w:rFonts w:hint="eastAsia"/>
                <w:sz w:val="19"/>
              </w:rPr>
            </w:pPr>
            <w:r>
              <w:rPr>
                <w:rFonts w:hint="eastAsia"/>
                <w:sz w:val="19"/>
              </w:rPr>
              <w:t>0</w:t>
            </w:r>
          </w:p>
        </w:tc>
        <w:tc>
          <w:tcPr>
            <w:tcW w:w="590" w:type="pct"/>
            <w:shd w:val="clear" w:color="auto" w:fill="auto"/>
            <w:noWrap/>
            <w:vAlign w:val="center"/>
          </w:tcPr>
          <w:p>
            <w:pPr>
              <w:spacing w:line="240" w:lineRule="auto"/>
              <w:jc w:val="center"/>
              <w:rPr>
                <w:rFonts w:hint="eastAsia"/>
                <w:sz w:val="19"/>
              </w:rPr>
            </w:pPr>
            <w:r>
              <w:rPr>
                <w:rFonts w:hint="eastAsia"/>
                <w:sz w:val="19"/>
              </w:rPr>
              <w:t>0</w:t>
            </w:r>
          </w:p>
        </w:tc>
        <w:tc>
          <w:tcPr>
            <w:tcW w:w="590" w:type="pct"/>
            <w:shd w:val="clear" w:color="auto" w:fill="auto"/>
            <w:noWrap/>
            <w:vAlign w:val="center"/>
          </w:tcPr>
          <w:p>
            <w:pPr>
              <w:spacing w:line="240" w:lineRule="auto"/>
              <w:jc w:val="center"/>
              <w:rPr>
                <w:rFonts w:hint="eastAsia"/>
                <w:sz w:val="19"/>
              </w:rPr>
            </w:pPr>
            <w:r>
              <w:rPr>
                <w:rFonts w:hint="eastAsia"/>
                <w:sz w:val="19"/>
              </w:rPr>
              <w:t>0</w:t>
            </w:r>
          </w:p>
        </w:tc>
        <w:tc>
          <w:tcPr>
            <w:tcW w:w="590" w:type="pct"/>
            <w:shd w:val="clear" w:color="auto" w:fill="auto"/>
            <w:noWrap/>
            <w:vAlign w:val="center"/>
          </w:tcPr>
          <w:p>
            <w:pPr>
              <w:spacing w:line="240" w:lineRule="auto"/>
              <w:jc w:val="center"/>
              <w:rPr>
                <w:rFonts w:hint="eastAsia"/>
                <w:sz w:val="19"/>
              </w:rPr>
            </w:pPr>
            <w:r>
              <w:rPr>
                <w:rFonts w:hint="eastAsia"/>
                <w:sz w:val="19"/>
              </w:rPr>
              <w:t>0</w:t>
            </w:r>
          </w:p>
        </w:tc>
        <w:tc>
          <w:tcPr>
            <w:tcW w:w="589" w:type="pct"/>
            <w:shd w:val="clear" w:color="auto" w:fill="auto"/>
            <w:noWrap/>
            <w:vAlign w:val="center"/>
          </w:tcPr>
          <w:p>
            <w:pPr>
              <w:spacing w:line="240" w:lineRule="auto"/>
              <w:jc w:val="center"/>
              <w:rPr>
                <w:rFonts w:hint="eastAsia"/>
                <w:sz w:val="19"/>
              </w:rPr>
            </w:pPr>
            <w:r>
              <w:rPr>
                <w:rFonts w:hint="eastAsia"/>
                <w:sz w:val="19"/>
              </w:rPr>
              <w:t>0</w:t>
            </w:r>
          </w:p>
        </w:tc>
        <w:tc>
          <w:tcPr>
            <w:tcW w:w="589" w:type="pct"/>
            <w:vAlign w:val="center"/>
          </w:tcPr>
          <w:p>
            <w:pPr>
              <w:spacing w:line="240" w:lineRule="auto"/>
              <w:jc w:val="center"/>
              <w:rPr>
                <w:rFonts w:hint="eastAsia"/>
                <w:sz w:val="19"/>
              </w:rPr>
            </w:pPr>
            <w:r>
              <w:rPr>
                <w:rFonts w:hint="eastAsia" w:ascii="Times New Roman" w:hAnsi="Times New Roman" w:eastAsia="等线"/>
                <w:color w:val="000000"/>
                <w:sz w:val="19"/>
                <w:szCs w:val="19"/>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463" w:type="pct"/>
            <w:shd w:val="clear" w:color="auto" w:fill="auto"/>
            <w:vAlign w:val="center"/>
          </w:tcPr>
          <w:p>
            <w:pPr>
              <w:spacing w:line="240" w:lineRule="auto"/>
              <w:jc w:val="center"/>
              <w:rPr>
                <w:rFonts w:hint="eastAsia"/>
                <w:sz w:val="19"/>
              </w:rPr>
            </w:pPr>
            <w:r>
              <w:rPr>
                <w:rFonts w:hint="eastAsia"/>
                <w:sz w:val="19"/>
              </w:rPr>
              <w:t>出租车</w:t>
            </w:r>
          </w:p>
        </w:tc>
        <w:tc>
          <w:tcPr>
            <w:tcW w:w="589" w:type="pct"/>
            <w:shd w:val="clear" w:color="auto" w:fill="auto"/>
            <w:noWrap/>
            <w:vAlign w:val="center"/>
          </w:tcPr>
          <w:p>
            <w:pPr>
              <w:spacing w:line="240" w:lineRule="auto"/>
              <w:jc w:val="center"/>
              <w:rPr>
                <w:rFonts w:hint="eastAsia"/>
                <w:sz w:val="19"/>
              </w:rPr>
            </w:pPr>
            <w:r>
              <w:rPr>
                <w:rFonts w:hint="eastAsia"/>
                <w:sz w:val="19"/>
              </w:rPr>
              <w:t>0</w:t>
            </w:r>
          </w:p>
        </w:tc>
        <w:tc>
          <w:tcPr>
            <w:tcW w:w="590" w:type="pct"/>
            <w:shd w:val="clear" w:color="auto" w:fill="auto"/>
            <w:noWrap/>
            <w:vAlign w:val="center"/>
          </w:tcPr>
          <w:p>
            <w:pPr>
              <w:spacing w:line="240" w:lineRule="auto"/>
              <w:jc w:val="center"/>
              <w:rPr>
                <w:rFonts w:hint="eastAsia"/>
                <w:sz w:val="19"/>
              </w:rPr>
            </w:pPr>
            <w:r>
              <w:rPr>
                <w:rFonts w:hint="eastAsia"/>
                <w:sz w:val="19"/>
              </w:rPr>
              <w:t>0</w:t>
            </w:r>
          </w:p>
        </w:tc>
        <w:tc>
          <w:tcPr>
            <w:tcW w:w="590" w:type="pct"/>
            <w:shd w:val="clear" w:color="auto" w:fill="auto"/>
            <w:noWrap/>
            <w:vAlign w:val="center"/>
          </w:tcPr>
          <w:p>
            <w:pPr>
              <w:spacing w:line="240" w:lineRule="auto"/>
              <w:jc w:val="center"/>
              <w:rPr>
                <w:rFonts w:hint="eastAsia"/>
                <w:sz w:val="19"/>
              </w:rPr>
            </w:pPr>
            <w:r>
              <w:rPr>
                <w:rFonts w:hint="eastAsia"/>
                <w:sz w:val="19"/>
              </w:rPr>
              <w:t>4</w:t>
            </w:r>
          </w:p>
        </w:tc>
        <w:tc>
          <w:tcPr>
            <w:tcW w:w="590" w:type="pct"/>
            <w:shd w:val="clear" w:color="auto" w:fill="auto"/>
            <w:noWrap/>
            <w:vAlign w:val="center"/>
          </w:tcPr>
          <w:p>
            <w:pPr>
              <w:spacing w:line="240" w:lineRule="auto"/>
              <w:jc w:val="center"/>
              <w:rPr>
                <w:rFonts w:hint="eastAsia"/>
                <w:sz w:val="19"/>
              </w:rPr>
            </w:pPr>
            <w:r>
              <w:rPr>
                <w:rFonts w:hint="eastAsia"/>
                <w:sz w:val="19"/>
              </w:rPr>
              <w:t>21</w:t>
            </w:r>
          </w:p>
        </w:tc>
        <w:tc>
          <w:tcPr>
            <w:tcW w:w="589" w:type="pct"/>
            <w:shd w:val="clear" w:color="auto" w:fill="auto"/>
            <w:noWrap/>
            <w:vAlign w:val="center"/>
          </w:tcPr>
          <w:p>
            <w:pPr>
              <w:spacing w:line="240" w:lineRule="auto"/>
              <w:jc w:val="center"/>
              <w:rPr>
                <w:rFonts w:hint="eastAsia"/>
                <w:sz w:val="19"/>
              </w:rPr>
            </w:pPr>
            <w:r>
              <w:rPr>
                <w:rFonts w:hint="eastAsia"/>
                <w:sz w:val="19"/>
              </w:rPr>
              <w:t>39</w:t>
            </w:r>
          </w:p>
        </w:tc>
        <w:tc>
          <w:tcPr>
            <w:tcW w:w="589" w:type="pct"/>
            <w:vAlign w:val="center"/>
          </w:tcPr>
          <w:p>
            <w:pPr>
              <w:spacing w:line="240" w:lineRule="auto"/>
              <w:jc w:val="center"/>
              <w:rPr>
                <w:rFonts w:hint="eastAsia"/>
                <w:sz w:val="19"/>
              </w:rPr>
            </w:pPr>
            <w:r>
              <w:rPr>
                <w:rFonts w:ascii="Times New Roman" w:hAnsi="Times New Roman" w:eastAsia="等线"/>
                <w:color w:val="000000"/>
                <w:sz w:val="19"/>
                <w:szCs w:val="19"/>
              </w:rPr>
              <w:t xml:space="preserve">51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463" w:type="pct"/>
            <w:shd w:val="clear" w:color="auto" w:fill="auto"/>
            <w:vAlign w:val="center"/>
          </w:tcPr>
          <w:p>
            <w:pPr>
              <w:spacing w:line="240" w:lineRule="auto"/>
              <w:jc w:val="center"/>
              <w:rPr>
                <w:rFonts w:hint="eastAsia"/>
                <w:sz w:val="19"/>
              </w:rPr>
            </w:pPr>
            <w:r>
              <w:rPr>
                <w:rFonts w:hint="eastAsia"/>
                <w:sz w:val="19"/>
              </w:rPr>
              <w:t>物流车</w:t>
            </w:r>
          </w:p>
        </w:tc>
        <w:tc>
          <w:tcPr>
            <w:tcW w:w="589" w:type="pct"/>
            <w:shd w:val="clear" w:color="auto" w:fill="auto"/>
            <w:noWrap/>
            <w:vAlign w:val="center"/>
          </w:tcPr>
          <w:p>
            <w:pPr>
              <w:spacing w:line="240" w:lineRule="auto"/>
              <w:jc w:val="center"/>
              <w:rPr>
                <w:rFonts w:hint="eastAsia"/>
                <w:sz w:val="19"/>
              </w:rPr>
            </w:pPr>
            <w:r>
              <w:rPr>
                <w:rFonts w:hint="eastAsia"/>
                <w:sz w:val="19"/>
              </w:rPr>
              <w:t>0</w:t>
            </w:r>
          </w:p>
        </w:tc>
        <w:tc>
          <w:tcPr>
            <w:tcW w:w="590" w:type="pct"/>
            <w:shd w:val="clear" w:color="auto" w:fill="auto"/>
            <w:noWrap/>
            <w:vAlign w:val="center"/>
          </w:tcPr>
          <w:p>
            <w:pPr>
              <w:spacing w:line="240" w:lineRule="auto"/>
              <w:jc w:val="center"/>
              <w:rPr>
                <w:rFonts w:hint="eastAsia"/>
                <w:sz w:val="19"/>
              </w:rPr>
            </w:pPr>
            <w:r>
              <w:rPr>
                <w:rFonts w:hint="eastAsia"/>
                <w:sz w:val="19"/>
              </w:rPr>
              <w:t>0</w:t>
            </w:r>
          </w:p>
        </w:tc>
        <w:tc>
          <w:tcPr>
            <w:tcW w:w="590" w:type="pct"/>
            <w:shd w:val="clear" w:color="auto" w:fill="auto"/>
            <w:noWrap/>
            <w:vAlign w:val="center"/>
          </w:tcPr>
          <w:p>
            <w:pPr>
              <w:spacing w:line="240" w:lineRule="auto"/>
              <w:jc w:val="center"/>
              <w:rPr>
                <w:rFonts w:hint="eastAsia"/>
                <w:sz w:val="19"/>
              </w:rPr>
            </w:pPr>
            <w:r>
              <w:rPr>
                <w:rFonts w:hint="eastAsia"/>
                <w:sz w:val="19"/>
              </w:rPr>
              <w:t>0</w:t>
            </w:r>
          </w:p>
        </w:tc>
        <w:tc>
          <w:tcPr>
            <w:tcW w:w="590" w:type="pct"/>
            <w:shd w:val="clear" w:color="auto" w:fill="auto"/>
            <w:noWrap/>
            <w:vAlign w:val="center"/>
          </w:tcPr>
          <w:p>
            <w:pPr>
              <w:spacing w:line="240" w:lineRule="auto"/>
              <w:jc w:val="center"/>
              <w:rPr>
                <w:rFonts w:hint="eastAsia"/>
                <w:sz w:val="19"/>
              </w:rPr>
            </w:pPr>
            <w:r>
              <w:rPr>
                <w:rFonts w:hint="eastAsia"/>
                <w:sz w:val="19"/>
              </w:rPr>
              <w:t>0</w:t>
            </w:r>
          </w:p>
        </w:tc>
        <w:tc>
          <w:tcPr>
            <w:tcW w:w="589" w:type="pct"/>
            <w:shd w:val="clear" w:color="auto" w:fill="auto"/>
            <w:noWrap/>
            <w:vAlign w:val="center"/>
          </w:tcPr>
          <w:p>
            <w:pPr>
              <w:spacing w:line="240" w:lineRule="auto"/>
              <w:jc w:val="center"/>
              <w:rPr>
                <w:rFonts w:hint="eastAsia"/>
                <w:sz w:val="19"/>
              </w:rPr>
            </w:pPr>
            <w:r>
              <w:rPr>
                <w:rFonts w:hint="eastAsia"/>
                <w:sz w:val="19"/>
              </w:rPr>
              <w:t>0</w:t>
            </w:r>
          </w:p>
        </w:tc>
        <w:tc>
          <w:tcPr>
            <w:tcW w:w="589" w:type="pct"/>
            <w:vAlign w:val="center"/>
          </w:tcPr>
          <w:p>
            <w:pPr>
              <w:spacing w:line="240" w:lineRule="auto"/>
              <w:jc w:val="center"/>
              <w:rPr>
                <w:rFonts w:hint="eastAsia"/>
                <w:sz w:val="19"/>
              </w:rPr>
            </w:pPr>
            <w:r>
              <w:rPr>
                <w:rFonts w:hint="eastAsia" w:ascii="Times New Roman" w:hAnsi="Times New Roman" w:eastAsia="等线"/>
                <w:color w:val="000000"/>
                <w:sz w:val="19"/>
                <w:szCs w:val="19"/>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463" w:type="pct"/>
            <w:shd w:val="clear" w:color="auto" w:fill="auto"/>
            <w:vAlign w:val="center"/>
          </w:tcPr>
          <w:p>
            <w:pPr>
              <w:spacing w:line="240" w:lineRule="auto"/>
              <w:jc w:val="center"/>
              <w:rPr>
                <w:rFonts w:hint="eastAsia"/>
                <w:sz w:val="19"/>
              </w:rPr>
            </w:pPr>
            <w:r>
              <w:rPr>
                <w:rFonts w:hint="eastAsia"/>
                <w:sz w:val="19"/>
              </w:rPr>
              <w:t>公务车</w:t>
            </w:r>
          </w:p>
        </w:tc>
        <w:tc>
          <w:tcPr>
            <w:tcW w:w="589" w:type="pct"/>
            <w:shd w:val="clear" w:color="auto" w:fill="auto"/>
            <w:noWrap/>
            <w:vAlign w:val="center"/>
          </w:tcPr>
          <w:p>
            <w:pPr>
              <w:spacing w:line="240" w:lineRule="auto"/>
              <w:jc w:val="center"/>
              <w:rPr>
                <w:rFonts w:hint="eastAsia"/>
                <w:sz w:val="19"/>
              </w:rPr>
            </w:pPr>
            <w:r>
              <w:rPr>
                <w:rFonts w:hint="eastAsia"/>
                <w:sz w:val="19"/>
              </w:rPr>
              <w:t>0</w:t>
            </w:r>
          </w:p>
        </w:tc>
        <w:tc>
          <w:tcPr>
            <w:tcW w:w="590" w:type="pct"/>
            <w:shd w:val="clear" w:color="auto" w:fill="auto"/>
            <w:noWrap/>
            <w:vAlign w:val="center"/>
          </w:tcPr>
          <w:p>
            <w:pPr>
              <w:spacing w:line="240" w:lineRule="auto"/>
              <w:jc w:val="center"/>
              <w:rPr>
                <w:rFonts w:hint="eastAsia"/>
                <w:sz w:val="19"/>
              </w:rPr>
            </w:pPr>
            <w:r>
              <w:rPr>
                <w:rFonts w:hint="eastAsia"/>
                <w:sz w:val="19"/>
              </w:rPr>
              <w:t>0</w:t>
            </w:r>
          </w:p>
        </w:tc>
        <w:tc>
          <w:tcPr>
            <w:tcW w:w="590" w:type="pct"/>
            <w:shd w:val="clear" w:color="auto" w:fill="auto"/>
            <w:noWrap/>
            <w:vAlign w:val="center"/>
          </w:tcPr>
          <w:p>
            <w:pPr>
              <w:spacing w:line="240" w:lineRule="auto"/>
              <w:jc w:val="center"/>
              <w:rPr>
                <w:rFonts w:hint="eastAsia"/>
                <w:sz w:val="19"/>
              </w:rPr>
            </w:pPr>
            <w:r>
              <w:rPr>
                <w:rFonts w:hint="eastAsia"/>
                <w:sz w:val="19"/>
              </w:rPr>
              <w:t>0</w:t>
            </w:r>
          </w:p>
        </w:tc>
        <w:tc>
          <w:tcPr>
            <w:tcW w:w="590" w:type="pct"/>
            <w:shd w:val="clear" w:color="auto" w:fill="auto"/>
            <w:noWrap/>
            <w:vAlign w:val="center"/>
          </w:tcPr>
          <w:p>
            <w:pPr>
              <w:spacing w:line="240" w:lineRule="auto"/>
              <w:jc w:val="center"/>
              <w:rPr>
                <w:rFonts w:hint="eastAsia"/>
                <w:sz w:val="19"/>
              </w:rPr>
            </w:pPr>
            <w:r>
              <w:rPr>
                <w:rFonts w:hint="eastAsia"/>
                <w:sz w:val="19"/>
              </w:rPr>
              <w:t>8</w:t>
            </w:r>
          </w:p>
        </w:tc>
        <w:tc>
          <w:tcPr>
            <w:tcW w:w="589" w:type="pct"/>
            <w:shd w:val="clear" w:color="auto" w:fill="auto"/>
            <w:noWrap/>
            <w:vAlign w:val="center"/>
          </w:tcPr>
          <w:p>
            <w:pPr>
              <w:spacing w:line="240" w:lineRule="auto"/>
              <w:jc w:val="center"/>
              <w:rPr>
                <w:rFonts w:hint="eastAsia"/>
                <w:sz w:val="19"/>
              </w:rPr>
            </w:pPr>
            <w:r>
              <w:rPr>
                <w:rFonts w:hint="eastAsia"/>
                <w:sz w:val="19"/>
              </w:rPr>
              <w:t>12</w:t>
            </w:r>
          </w:p>
        </w:tc>
        <w:tc>
          <w:tcPr>
            <w:tcW w:w="589" w:type="pct"/>
            <w:vAlign w:val="center"/>
          </w:tcPr>
          <w:p>
            <w:pPr>
              <w:spacing w:line="240" w:lineRule="auto"/>
              <w:jc w:val="center"/>
              <w:rPr>
                <w:rFonts w:hint="eastAsia"/>
                <w:sz w:val="19"/>
              </w:rPr>
            </w:pPr>
            <w:r>
              <w:rPr>
                <w:rFonts w:ascii="Times New Roman" w:hAnsi="Times New Roman" w:eastAsia="等线"/>
                <w:color w:val="000000"/>
                <w:sz w:val="19"/>
                <w:szCs w:val="19"/>
              </w:rPr>
              <w:t xml:space="preserve">18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463" w:type="pct"/>
            <w:shd w:val="clear" w:color="auto" w:fill="auto"/>
            <w:vAlign w:val="center"/>
          </w:tcPr>
          <w:p>
            <w:pPr>
              <w:spacing w:line="240" w:lineRule="auto"/>
              <w:jc w:val="center"/>
              <w:rPr>
                <w:rFonts w:hint="eastAsia"/>
                <w:sz w:val="19"/>
              </w:rPr>
            </w:pPr>
            <w:r>
              <w:rPr>
                <w:rFonts w:hint="eastAsia"/>
                <w:sz w:val="19"/>
              </w:rPr>
              <w:t>客运班车</w:t>
            </w:r>
          </w:p>
        </w:tc>
        <w:tc>
          <w:tcPr>
            <w:tcW w:w="589" w:type="pct"/>
            <w:shd w:val="clear" w:color="auto" w:fill="auto"/>
            <w:noWrap/>
            <w:vAlign w:val="center"/>
          </w:tcPr>
          <w:p>
            <w:pPr>
              <w:spacing w:line="240" w:lineRule="auto"/>
              <w:jc w:val="center"/>
              <w:rPr>
                <w:rFonts w:hint="eastAsia"/>
                <w:sz w:val="19"/>
              </w:rPr>
            </w:pPr>
            <w:r>
              <w:rPr>
                <w:rFonts w:hint="eastAsia"/>
                <w:sz w:val="19"/>
              </w:rPr>
              <w:t>0</w:t>
            </w:r>
          </w:p>
        </w:tc>
        <w:tc>
          <w:tcPr>
            <w:tcW w:w="590" w:type="pct"/>
            <w:shd w:val="clear" w:color="auto" w:fill="auto"/>
            <w:noWrap/>
            <w:vAlign w:val="center"/>
          </w:tcPr>
          <w:p>
            <w:pPr>
              <w:spacing w:line="240" w:lineRule="auto"/>
              <w:jc w:val="center"/>
              <w:rPr>
                <w:rFonts w:hint="eastAsia"/>
                <w:sz w:val="19"/>
              </w:rPr>
            </w:pPr>
            <w:r>
              <w:rPr>
                <w:rFonts w:hint="eastAsia"/>
                <w:sz w:val="19"/>
              </w:rPr>
              <w:t>0</w:t>
            </w:r>
          </w:p>
        </w:tc>
        <w:tc>
          <w:tcPr>
            <w:tcW w:w="590" w:type="pct"/>
            <w:shd w:val="clear" w:color="auto" w:fill="auto"/>
            <w:noWrap/>
            <w:vAlign w:val="center"/>
          </w:tcPr>
          <w:p>
            <w:pPr>
              <w:spacing w:line="240" w:lineRule="auto"/>
              <w:jc w:val="center"/>
              <w:rPr>
                <w:rFonts w:hint="eastAsia"/>
                <w:sz w:val="19"/>
              </w:rPr>
            </w:pPr>
            <w:r>
              <w:rPr>
                <w:rFonts w:hint="eastAsia"/>
                <w:sz w:val="19"/>
              </w:rPr>
              <w:t>0</w:t>
            </w:r>
          </w:p>
        </w:tc>
        <w:tc>
          <w:tcPr>
            <w:tcW w:w="590" w:type="pct"/>
            <w:shd w:val="clear" w:color="auto" w:fill="auto"/>
            <w:noWrap/>
            <w:vAlign w:val="center"/>
          </w:tcPr>
          <w:p>
            <w:pPr>
              <w:spacing w:line="240" w:lineRule="auto"/>
              <w:jc w:val="center"/>
              <w:rPr>
                <w:rFonts w:hint="eastAsia"/>
                <w:sz w:val="19"/>
              </w:rPr>
            </w:pPr>
            <w:r>
              <w:rPr>
                <w:rFonts w:hint="eastAsia"/>
                <w:sz w:val="19"/>
              </w:rPr>
              <w:t>0</w:t>
            </w:r>
          </w:p>
        </w:tc>
        <w:tc>
          <w:tcPr>
            <w:tcW w:w="589" w:type="pct"/>
            <w:shd w:val="clear" w:color="auto" w:fill="auto"/>
            <w:noWrap/>
            <w:vAlign w:val="center"/>
          </w:tcPr>
          <w:p>
            <w:pPr>
              <w:spacing w:line="240" w:lineRule="auto"/>
              <w:jc w:val="center"/>
              <w:rPr>
                <w:rFonts w:hint="eastAsia"/>
                <w:sz w:val="19"/>
              </w:rPr>
            </w:pPr>
            <w:r>
              <w:rPr>
                <w:rFonts w:hint="eastAsia"/>
                <w:sz w:val="19"/>
              </w:rPr>
              <w:t>0</w:t>
            </w:r>
          </w:p>
        </w:tc>
        <w:tc>
          <w:tcPr>
            <w:tcW w:w="589" w:type="pct"/>
            <w:vAlign w:val="center"/>
          </w:tcPr>
          <w:p>
            <w:pPr>
              <w:spacing w:line="240" w:lineRule="auto"/>
              <w:jc w:val="center"/>
              <w:rPr>
                <w:rFonts w:hint="eastAsia"/>
                <w:sz w:val="19"/>
              </w:rPr>
            </w:pPr>
            <w:r>
              <w:rPr>
                <w:rFonts w:hint="eastAsia" w:ascii="Times New Roman" w:hAnsi="Times New Roman" w:eastAsia="等线"/>
                <w:color w:val="000000"/>
                <w:sz w:val="19"/>
                <w:szCs w:val="19"/>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463" w:type="pct"/>
            <w:shd w:val="clear" w:color="auto" w:fill="auto"/>
            <w:vAlign w:val="center"/>
          </w:tcPr>
          <w:p>
            <w:pPr>
              <w:spacing w:line="240" w:lineRule="auto"/>
              <w:jc w:val="center"/>
              <w:rPr>
                <w:rFonts w:hint="eastAsia"/>
                <w:sz w:val="19"/>
              </w:rPr>
            </w:pPr>
            <w:r>
              <w:rPr>
                <w:rFonts w:hint="eastAsia"/>
                <w:sz w:val="19"/>
              </w:rPr>
              <w:t>其他</w:t>
            </w:r>
          </w:p>
        </w:tc>
        <w:tc>
          <w:tcPr>
            <w:tcW w:w="589" w:type="pct"/>
            <w:shd w:val="clear" w:color="auto" w:fill="auto"/>
            <w:noWrap/>
            <w:vAlign w:val="center"/>
          </w:tcPr>
          <w:p>
            <w:pPr>
              <w:spacing w:line="240" w:lineRule="auto"/>
              <w:jc w:val="center"/>
              <w:rPr>
                <w:rFonts w:hint="eastAsia"/>
                <w:sz w:val="19"/>
              </w:rPr>
            </w:pPr>
            <w:r>
              <w:rPr>
                <w:rFonts w:hint="eastAsia"/>
                <w:sz w:val="19"/>
              </w:rPr>
              <w:t>0</w:t>
            </w:r>
          </w:p>
        </w:tc>
        <w:tc>
          <w:tcPr>
            <w:tcW w:w="590" w:type="pct"/>
            <w:shd w:val="clear" w:color="auto" w:fill="auto"/>
            <w:noWrap/>
            <w:vAlign w:val="center"/>
          </w:tcPr>
          <w:p>
            <w:pPr>
              <w:spacing w:line="240" w:lineRule="auto"/>
              <w:jc w:val="center"/>
              <w:rPr>
                <w:rFonts w:hint="eastAsia"/>
                <w:sz w:val="19"/>
              </w:rPr>
            </w:pPr>
            <w:r>
              <w:rPr>
                <w:rFonts w:hint="eastAsia"/>
                <w:sz w:val="19"/>
              </w:rPr>
              <w:t>0</w:t>
            </w:r>
          </w:p>
        </w:tc>
        <w:tc>
          <w:tcPr>
            <w:tcW w:w="590" w:type="pct"/>
            <w:shd w:val="clear" w:color="auto" w:fill="auto"/>
            <w:noWrap/>
            <w:vAlign w:val="center"/>
          </w:tcPr>
          <w:p>
            <w:pPr>
              <w:spacing w:line="240" w:lineRule="auto"/>
              <w:jc w:val="center"/>
              <w:rPr>
                <w:rFonts w:hint="eastAsia"/>
                <w:sz w:val="19"/>
              </w:rPr>
            </w:pPr>
            <w:r>
              <w:rPr>
                <w:rFonts w:hint="eastAsia"/>
                <w:sz w:val="19"/>
              </w:rPr>
              <w:t>0</w:t>
            </w:r>
          </w:p>
        </w:tc>
        <w:tc>
          <w:tcPr>
            <w:tcW w:w="590" w:type="pct"/>
            <w:shd w:val="clear" w:color="auto" w:fill="auto"/>
            <w:noWrap/>
            <w:vAlign w:val="center"/>
          </w:tcPr>
          <w:p>
            <w:pPr>
              <w:spacing w:line="240" w:lineRule="auto"/>
              <w:jc w:val="center"/>
              <w:rPr>
                <w:rFonts w:hint="eastAsia"/>
                <w:sz w:val="19"/>
              </w:rPr>
            </w:pPr>
            <w:r>
              <w:rPr>
                <w:rFonts w:hint="eastAsia"/>
                <w:sz w:val="19"/>
              </w:rPr>
              <w:t>0</w:t>
            </w:r>
          </w:p>
        </w:tc>
        <w:tc>
          <w:tcPr>
            <w:tcW w:w="589" w:type="pct"/>
            <w:shd w:val="clear" w:color="auto" w:fill="auto"/>
            <w:noWrap/>
            <w:vAlign w:val="center"/>
          </w:tcPr>
          <w:p>
            <w:pPr>
              <w:spacing w:line="240" w:lineRule="auto"/>
              <w:jc w:val="center"/>
              <w:rPr>
                <w:rFonts w:hint="eastAsia"/>
                <w:sz w:val="19"/>
              </w:rPr>
            </w:pPr>
            <w:r>
              <w:rPr>
                <w:rFonts w:hint="eastAsia"/>
                <w:sz w:val="19"/>
              </w:rPr>
              <w:t>0</w:t>
            </w:r>
          </w:p>
        </w:tc>
        <w:tc>
          <w:tcPr>
            <w:tcW w:w="589" w:type="pct"/>
            <w:vAlign w:val="center"/>
          </w:tcPr>
          <w:p>
            <w:pPr>
              <w:spacing w:line="240" w:lineRule="auto"/>
              <w:jc w:val="center"/>
              <w:rPr>
                <w:rFonts w:hint="eastAsia"/>
                <w:sz w:val="19"/>
              </w:rPr>
            </w:pPr>
            <w:r>
              <w:rPr>
                <w:rFonts w:hint="eastAsia" w:ascii="Times New Roman" w:hAnsi="Times New Roman" w:eastAsia="等线"/>
                <w:color w:val="000000"/>
                <w:sz w:val="19"/>
                <w:szCs w:val="19"/>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463" w:type="pct"/>
            <w:shd w:val="clear" w:color="auto" w:fill="auto"/>
            <w:vAlign w:val="center"/>
          </w:tcPr>
          <w:p>
            <w:pPr>
              <w:spacing w:line="240" w:lineRule="auto"/>
              <w:jc w:val="center"/>
              <w:rPr>
                <w:rFonts w:hint="eastAsia"/>
                <w:sz w:val="19"/>
              </w:rPr>
            </w:pPr>
            <w:r>
              <w:rPr>
                <w:rFonts w:hint="eastAsia"/>
                <w:sz w:val="19"/>
              </w:rPr>
              <w:t>总计</w:t>
            </w:r>
          </w:p>
        </w:tc>
        <w:tc>
          <w:tcPr>
            <w:tcW w:w="589" w:type="pct"/>
            <w:shd w:val="clear" w:color="auto" w:fill="auto"/>
            <w:noWrap/>
            <w:vAlign w:val="center"/>
          </w:tcPr>
          <w:p>
            <w:pPr>
              <w:spacing w:line="240" w:lineRule="auto"/>
              <w:jc w:val="center"/>
              <w:rPr>
                <w:rFonts w:hint="eastAsia"/>
                <w:sz w:val="19"/>
              </w:rPr>
            </w:pPr>
            <w:r>
              <w:rPr>
                <w:rFonts w:hint="eastAsia"/>
                <w:sz w:val="19"/>
              </w:rPr>
              <w:t>29</w:t>
            </w:r>
          </w:p>
        </w:tc>
        <w:tc>
          <w:tcPr>
            <w:tcW w:w="590" w:type="pct"/>
            <w:shd w:val="clear" w:color="auto" w:fill="auto"/>
            <w:noWrap/>
            <w:vAlign w:val="center"/>
          </w:tcPr>
          <w:p>
            <w:pPr>
              <w:spacing w:line="240" w:lineRule="auto"/>
              <w:jc w:val="center"/>
              <w:rPr>
                <w:rFonts w:hint="eastAsia"/>
                <w:sz w:val="19"/>
              </w:rPr>
            </w:pPr>
            <w:r>
              <w:rPr>
                <w:rFonts w:hint="eastAsia"/>
                <w:sz w:val="19"/>
              </w:rPr>
              <w:t>49</w:t>
            </w:r>
          </w:p>
        </w:tc>
        <w:tc>
          <w:tcPr>
            <w:tcW w:w="590" w:type="pct"/>
            <w:shd w:val="clear" w:color="auto" w:fill="auto"/>
            <w:noWrap/>
            <w:vAlign w:val="center"/>
          </w:tcPr>
          <w:p>
            <w:pPr>
              <w:spacing w:line="240" w:lineRule="auto"/>
              <w:jc w:val="center"/>
              <w:rPr>
                <w:rFonts w:hint="eastAsia"/>
                <w:sz w:val="19"/>
              </w:rPr>
            </w:pPr>
            <w:r>
              <w:rPr>
                <w:rFonts w:hint="eastAsia"/>
                <w:sz w:val="19"/>
              </w:rPr>
              <w:t>72</w:t>
            </w:r>
          </w:p>
        </w:tc>
        <w:tc>
          <w:tcPr>
            <w:tcW w:w="590" w:type="pct"/>
            <w:shd w:val="clear" w:color="auto" w:fill="auto"/>
            <w:noWrap/>
            <w:vAlign w:val="center"/>
          </w:tcPr>
          <w:p>
            <w:pPr>
              <w:spacing w:line="240" w:lineRule="auto"/>
              <w:jc w:val="center"/>
              <w:rPr>
                <w:rFonts w:hint="eastAsia"/>
                <w:sz w:val="19"/>
              </w:rPr>
            </w:pPr>
            <w:r>
              <w:rPr>
                <w:rFonts w:hint="eastAsia"/>
                <w:sz w:val="19"/>
              </w:rPr>
              <w:t>194</w:t>
            </w:r>
          </w:p>
        </w:tc>
        <w:tc>
          <w:tcPr>
            <w:tcW w:w="589" w:type="pct"/>
            <w:shd w:val="clear" w:color="auto" w:fill="auto"/>
            <w:noWrap/>
            <w:vAlign w:val="center"/>
          </w:tcPr>
          <w:p>
            <w:pPr>
              <w:spacing w:line="240" w:lineRule="auto"/>
              <w:jc w:val="center"/>
              <w:rPr>
                <w:rFonts w:hint="eastAsia"/>
                <w:sz w:val="19"/>
              </w:rPr>
            </w:pPr>
            <w:r>
              <w:rPr>
                <w:rFonts w:hint="eastAsia"/>
                <w:sz w:val="19"/>
              </w:rPr>
              <w:t>258</w:t>
            </w:r>
          </w:p>
        </w:tc>
        <w:tc>
          <w:tcPr>
            <w:tcW w:w="589" w:type="pct"/>
            <w:vAlign w:val="center"/>
          </w:tcPr>
          <w:p>
            <w:pPr>
              <w:spacing w:line="240" w:lineRule="auto"/>
              <w:jc w:val="center"/>
              <w:rPr>
                <w:rFonts w:hint="eastAsia"/>
                <w:sz w:val="19"/>
              </w:rPr>
            </w:pPr>
            <w:r>
              <w:rPr>
                <w:rFonts w:ascii="Times New Roman" w:hAnsi="Times New Roman" w:eastAsia="等线"/>
                <w:color w:val="000000"/>
                <w:sz w:val="19"/>
                <w:szCs w:val="19"/>
              </w:rPr>
              <w:t>363</w:t>
            </w:r>
          </w:p>
        </w:tc>
      </w:tr>
    </w:tbl>
    <w:p>
      <w:pPr>
        <w:spacing w:line="360" w:lineRule="auto"/>
        <w:jc w:val="center"/>
        <w:rPr>
          <w:rFonts w:ascii="仿宋_GB2312" w:hAnsi="仿宋_GB2312" w:cs="仿宋_GB2312"/>
          <w:szCs w:val="21"/>
        </w:rPr>
      </w:pPr>
      <w:r>
        <w:rPr>
          <w:rFonts w:ascii="仿宋_GB2312" w:hAnsi="仿宋_GB2312" w:cs="仿宋_GB2312"/>
          <w:szCs w:val="21"/>
        </w:rPr>
        <w:drawing>
          <wp:inline distT="0" distB="0" distL="0" distR="0">
            <wp:extent cx="4584700" cy="2755900"/>
            <wp:effectExtent l="0" t="0" r="6350" b="6350"/>
            <wp:docPr id="61380650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806501" name="图片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4584700" cy="2755900"/>
                    </a:xfrm>
                    <a:prstGeom prst="rect">
                      <a:avLst/>
                    </a:prstGeom>
                    <a:noFill/>
                  </pic:spPr>
                </pic:pic>
              </a:graphicData>
            </a:graphic>
          </wp:inline>
        </w:drawing>
      </w:r>
    </w:p>
    <w:p>
      <w:pPr>
        <w:pStyle w:val="8"/>
      </w:pPr>
      <w:r>
        <w:rPr>
          <w:rFonts w:hint="eastAsia"/>
        </w:rPr>
        <w:t>桓仁满族自治县电动汽车历史年保有量</w:t>
      </w:r>
    </w:p>
    <w:p>
      <w:pPr>
        <w:pStyle w:val="3"/>
      </w:pPr>
      <w:bookmarkStart w:id="46" w:name="_Toc19678"/>
      <w:r>
        <w:rPr>
          <w:szCs w:val="22"/>
        </w:rPr>
        <w:t>公共充电设施</w:t>
      </w:r>
      <w:r>
        <w:rPr>
          <w:rFonts w:hint="eastAsia"/>
          <w:szCs w:val="22"/>
        </w:rPr>
        <w:t>现状</w:t>
      </w:r>
      <w:bookmarkEnd w:id="45"/>
      <w:bookmarkEnd w:id="46"/>
    </w:p>
    <w:p>
      <w:pPr>
        <w:spacing w:line="360" w:lineRule="auto"/>
        <w:ind w:firstLine="560" w:firstLineChars="200"/>
        <w:rPr>
          <w:rFonts w:hint="eastAsia"/>
        </w:rPr>
      </w:pPr>
      <w:r>
        <w:rPr>
          <w:rFonts w:hint="eastAsia"/>
        </w:rPr>
        <w:t>截至2023年底，桓仁满族自治县共有公共电动汽车充电站7座，充电桩总数为45台（充电枪46个），总功率2158千瓦。其中：直流桩31台（充电枪32个），功率</w:t>
      </w:r>
      <w:r>
        <w:t>2060</w:t>
      </w:r>
      <w:r>
        <w:rPr>
          <w:rFonts w:hint="eastAsia"/>
        </w:rPr>
        <w:t>千瓦。各街道公共充电设施发展情况详细如下：</w:t>
      </w:r>
    </w:p>
    <w:p>
      <w:pPr>
        <w:pStyle w:val="7"/>
      </w:pPr>
      <w:r>
        <w:rPr>
          <w:rFonts w:hint="eastAsia"/>
        </w:rPr>
        <w:t>公共充电设施保有量</w:t>
      </w:r>
    </w:p>
    <w:p>
      <w:pPr>
        <w:pStyle w:val="7"/>
        <w:numPr>
          <w:ilvl w:val="0"/>
          <w:numId w:val="0"/>
        </w:numPr>
        <w:jc w:val="right"/>
      </w:pPr>
      <w:r>
        <w:rPr>
          <w:rFonts w:hint="eastAsia"/>
        </w:rPr>
        <w:t>单位：座、台、kW</w:t>
      </w: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28" w:type="dxa"/>
          <w:left w:w="28" w:type="dxa"/>
          <w:bottom w:w="28" w:type="dxa"/>
          <w:right w:w="28" w:type="dxa"/>
        </w:tblCellMar>
      </w:tblPr>
      <w:tblGrid>
        <w:gridCol w:w="3397"/>
        <w:gridCol w:w="2150"/>
        <w:gridCol w:w="426"/>
        <w:gridCol w:w="730"/>
        <w:gridCol w:w="730"/>
        <w:gridCol w:w="448"/>
        <w:gridCol w:w="44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2039"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地区</w:t>
            </w:r>
          </w:p>
        </w:tc>
        <w:tc>
          <w:tcPr>
            <w:tcW w:w="1291"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充电站</w:t>
            </w:r>
          </w:p>
        </w:tc>
        <w:tc>
          <w:tcPr>
            <w:tcW w:w="256" w:type="pct"/>
            <w:shd w:val="clear" w:color="auto" w:fill="D9D9D9"/>
            <w:noWrap/>
            <w:tcMar>
              <w:top w:w="12" w:type="dxa"/>
              <w:left w:w="12" w:type="dxa"/>
              <w:right w:w="12" w:type="dxa"/>
            </w:tcMar>
            <w:vAlign w:val="center"/>
          </w:tcPr>
          <w:p>
            <w:pPr>
              <w:spacing w:line="240" w:lineRule="auto"/>
              <w:jc w:val="center"/>
              <w:rPr>
                <w:rFonts w:hint="eastAsia"/>
                <w:b/>
                <w:sz w:val="19"/>
              </w:rPr>
            </w:pPr>
            <w:r>
              <w:rPr>
                <w:rFonts w:hint="eastAsia"/>
                <w:b/>
                <w:sz w:val="19"/>
              </w:rPr>
              <w:t>属性</w:t>
            </w:r>
          </w:p>
        </w:tc>
        <w:tc>
          <w:tcPr>
            <w:tcW w:w="438"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直流充电桩</w:t>
            </w:r>
          </w:p>
        </w:tc>
        <w:tc>
          <w:tcPr>
            <w:tcW w:w="438"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交流充电桩</w:t>
            </w:r>
          </w:p>
        </w:tc>
        <w:tc>
          <w:tcPr>
            <w:tcW w:w="269"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总桩数</w:t>
            </w:r>
          </w:p>
        </w:tc>
        <w:tc>
          <w:tcPr>
            <w:tcW w:w="269"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总功率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3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滨江大街1号</w:t>
            </w:r>
          </w:p>
        </w:tc>
        <w:tc>
          <w:tcPr>
            <w:tcW w:w="1291"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特斯拉超级充电站</w:t>
            </w:r>
          </w:p>
        </w:tc>
        <w:tc>
          <w:tcPr>
            <w:tcW w:w="256"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公用</w:t>
            </w:r>
          </w:p>
        </w:tc>
        <w:tc>
          <w:tcPr>
            <w:tcW w:w="438"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3</w:t>
            </w:r>
          </w:p>
        </w:tc>
        <w:tc>
          <w:tcPr>
            <w:tcW w:w="438"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0</w:t>
            </w:r>
          </w:p>
        </w:tc>
        <w:tc>
          <w:tcPr>
            <w:tcW w:w="26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3</w:t>
            </w:r>
          </w:p>
        </w:tc>
        <w:tc>
          <w:tcPr>
            <w:tcW w:w="26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240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3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长江大街桓仁第二高中南侧约140米</w:t>
            </w:r>
          </w:p>
        </w:tc>
        <w:tc>
          <w:tcPr>
            <w:tcW w:w="1291"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国家电网充电站（桓仁凤鸣加油站）</w:t>
            </w:r>
          </w:p>
        </w:tc>
        <w:tc>
          <w:tcPr>
            <w:tcW w:w="256"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公用</w:t>
            </w:r>
          </w:p>
        </w:tc>
        <w:tc>
          <w:tcPr>
            <w:tcW w:w="438"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4</w:t>
            </w:r>
          </w:p>
        </w:tc>
        <w:tc>
          <w:tcPr>
            <w:tcW w:w="438"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0</w:t>
            </w:r>
          </w:p>
        </w:tc>
        <w:tc>
          <w:tcPr>
            <w:tcW w:w="26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4</w:t>
            </w:r>
          </w:p>
        </w:tc>
        <w:tc>
          <w:tcPr>
            <w:tcW w:w="26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320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3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桓仁满族自治县八卦城街道客运站</w:t>
            </w:r>
          </w:p>
        </w:tc>
        <w:tc>
          <w:tcPr>
            <w:tcW w:w="1291"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桓仁客运站停车场</w:t>
            </w:r>
          </w:p>
        </w:tc>
        <w:tc>
          <w:tcPr>
            <w:tcW w:w="256"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公用</w:t>
            </w:r>
          </w:p>
        </w:tc>
        <w:tc>
          <w:tcPr>
            <w:tcW w:w="438"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12</w:t>
            </w:r>
          </w:p>
        </w:tc>
        <w:tc>
          <w:tcPr>
            <w:tcW w:w="438"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0</w:t>
            </w:r>
          </w:p>
        </w:tc>
        <w:tc>
          <w:tcPr>
            <w:tcW w:w="26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12</w:t>
            </w:r>
          </w:p>
        </w:tc>
        <w:tc>
          <w:tcPr>
            <w:tcW w:w="26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960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3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桓仁满族自治县雅河朝鲜族自治乡云峰山服务区充电站</w:t>
            </w:r>
          </w:p>
        </w:tc>
        <w:tc>
          <w:tcPr>
            <w:tcW w:w="1291"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云峰山服务区充电站</w:t>
            </w:r>
          </w:p>
        </w:tc>
        <w:tc>
          <w:tcPr>
            <w:tcW w:w="256"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公用</w:t>
            </w:r>
          </w:p>
        </w:tc>
        <w:tc>
          <w:tcPr>
            <w:tcW w:w="438"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2</w:t>
            </w:r>
          </w:p>
        </w:tc>
        <w:tc>
          <w:tcPr>
            <w:tcW w:w="438"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2</w:t>
            </w:r>
          </w:p>
        </w:tc>
        <w:tc>
          <w:tcPr>
            <w:tcW w:w="26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4</w:t>
            </w:r>
          </w:p>
        </w:tc>
        <w:tc>
          <w:tcPr>
            <w:tcW w:w="26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194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3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桓仁满族自治县华来镇华来服务区充电站</w:t>
            </w:r>
          </w:p>
        </w:tc>
        <w:tc>
          <w:tcPr>
            <w:tcW w:w="1291"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华来服务区充电站</w:t>
            </w:r>
          </w:p>
        </w:tc>
        <w:tc>
          <w:tcPr>
            <w:tcW w:w="256"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公用</w:t>
            </w:r>
          </w:p>
        </w:tc>
        <w:tc>
          <w:tcPr>
            <w:tcW w:w="438"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2</w:t>
            </w:r>
          </w:p>
        </w:tc>
        <w:tc>
          <w:tcPr>
            <w:tcW w:w="438"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2</w:t>
            </w:r>
          </w:p>
        </w:tc>
        <w:tc>
          <w:tcPr>
            <w:tcW w:w="26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4</w:t>
            </w:r>
          </w:p>
        </w:tc>
        <w:tc>
          <w:tcPr>
            <w:tcW w:w="26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134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rHeight w:val="90" w:hRule="atLeast"/>
          <w:jc w:val="center"/>
        </w:trPr>
        <w:tc>
          <w:tcPr>
            <w:tcW w:w="203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B</w:t>
            </w:r>
            <w:r>
              <w:rPr>
                <w:sz w:val="19"/>
              </w:rPr>
              <w:t>YD</w:t>
            </w:r>
            <w:r>
              <w:rPr>
                <w:rFonts w:hint="eastAsia"/>
                <w:sz w:val="19"/>
              </w:rPr>
              <w:t>辽宁英汇桓仁专营店</w:t>
            </w:r>
          </w:p>
        </w:tc>
        <w:tc>
          <w:tcPr>
            <w:tcW w:w="1291"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桓仁镇B</w:t>
            </w:r>
            <w:r>
              <w:rPr>
                <w:sz w:val="19"/>
              </w:rPr>
              <w:t>YD</w:t>
            </w:r>
            <w:r>
              <w:rPr>
                <w:rFonts w:hint="eastAsia"/>
                <w:sz w:val="19"/>
              </w:rPr>
              <w:t>辽宁英汇桓仁专营店</w:t>
            </w:r>
          </w:p>
        </w:tc>
        <w:tc>
          <w:tcPr>
            <w:tcW w:w="256"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公用</w:t>
            </w:r>
          </w:p>
        </w:tc>
        <w:tc>
          <w:tcPr>
            <w:tcW w:w="438"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8</w:t>
            </w:r>
          </w:p>
        </w:tc>
        <w:tc>
          <w:tcPr>
            <w:tcW w:w="438"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0</w:t>
            </w:r>
          </w:p>
        </w:tc>
        <w:tc>
          <w:tcPr>
            <w:tcW w:w="26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8</w:t>
            </w:r>
          </w:p>
        </w:tc>
        <w:tc>
          <w:tcPr>
            <w:tcW w:w="26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2</w:t>
            </w:r>
            <w:r>
              <w:rPr>
                <w:sz w:val="19"/>
              </w:rPr>
              <w:t>40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3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桓仁满族自治县五女山山城停车场</w:t>
            </w:r>
          </w:p>
        </w:tc>
        <w:tc>
          <w:tcPr>
            <w:tcW w:w="1291"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泰山路33号</w:t>
            </w:r>
          </w:p>
        </w:tc>
        <w:tc>
          <w:tcPr>
            <w:tcW w:w="256"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公用</w:t>
            </w:r>
          </w:p>
        </w:tc>
        <w:tc>
          <w:tcPr>
            <w:tcW w:w="438"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0</w:t>
            </w:r>
          </w:p>
        </w:tc>
        <w:tc>
          <w:tcPr>
            <w:tcW w:w="438"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10</w:t>
            </w:r>
          </w:p>
        </w:tc>
        <w:tc>
          <w:tcPr>
            <w:tcW w:w="26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10</w:t>
            </w:r>
          </w:p>
        </w:tc>
        <w:tc>
          <w:tcPr>
            <w:tcW w:w="26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70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3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合计</w:t>
            </w:r>
          </w:p>
        </w:tc>
        <w:tc>
          <w:tcPr>
            <w:tcW w:w="1291"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w:t>
            </w:r>
            <w:r>
              <w:rPr>
                <w:sz w:val="19"/>
              </w:rPr>
              <w:t>---------</w:t>
            </w:r>
          </w:p>
        </w:tc>
        <w:tc>
          <w:tcPr>
            <w:tcW w:w="256"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公用</w:t>
            </w:r>
          </w:p>
        </w:tc>
        <w:tc>
          <w:tcPr>
            <w:tcW w:w="438"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31</w:t>
            </w:r>
          </w:p>
        </w:tc>
        <w:tc>
          <w:tcPr>
            <w:tcW w:w="438"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14</w:t>
            </w:r>
          </w:p>
        </w:tc>
        <w:tc>
          <w:tcPr>
            <w:tcW w:w="26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45</w:t>
            </w:r>
          </w:p>
        </w:tc>
        <w:tc>
          <w:tcPr>
            <w:tcW w:w="26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2158</w:t>
            </w:r>
          </w:p>
        </w:tc>
      </w:tr>
    </w:tbl>
    <w:p>
      <w:pPr>
        <w:spacing w:before="156" w:beforeLines="50" w:line="360" w:lineRule="auto"/>
        <w:ind w:firstLine="560" w:firstLineChars="200"/>
        <w:rPr>
          <w:rFonts w:hint="eastAsia" w:cs="仿宋_GB2312"/>
          <w:szCs w:val="22"/>
        </w:rPr>
      </w:pPr>
      <w:r>
        <w:rPr>
          <w:rFonts w:hint="eastAsia" w:cs="仿宋_GB2312"/>
          <w:szCs w:val="22"/>
        </w:rPr>
        <w:t>桓仁满族自治县公共充电站明细见下表所示：</w:t>
      </w:r>
    </w:p>
    <w:p>
      <w:pPr>
        <w:pStyle w:val="7"/>
      </w:pPr>
      <w:r>
        <w:rPr>
          <w:rFonts w:hint="eastAsia"/>
        </w:rPr>
        <w:t>桓仁满族自治县公共充电站明细表</w:t>
      </w:r>
    </w:p>
    <w:p>
      <w:pPr>
        <w:pStyle w:val="7"/>
        <w:numPr>
          <w:ilvl w:val="0"/>
          <w:numId w:val="0"/>
        </w:numPr>
        <w:jc w:val="right"/>
      </w:pPr>
      <w:r>
        <w:rPr>
          <w:rFonts w:hint="eastAsia"/>
        </w:rPr>
        <w:t>单位：台、kW</w:t>
      </w: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187"/>
        <w:gridCol w:w="1319"/>
        <w:gridCol w:w="510"/>
        <w:gridCol w:w="1324"/>
        <w:gridCol w:w="918"/>
        <w:gridCol w:w="1967"/>
        <w:gridCol w:w="349"/>
        <w:gridCol w:w="349"/>
        <w:gridCol w:w="431"/>
        <w:gridCol w:w="97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113"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序号</w:t>
            </w:r>
          </w:p>
        </w:tc>
        <w:tc>
          <w:tcPr>
            <w:tcW w:w="792"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充电站名称</w:t>
            </w:r>
          </w:p>
        </w:tc>
        <w:tc>
          <w:tcPr>
            <w:tcW w:w="306"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用地类型</w:t>
            </w:r>
          </w:p>
        </w:tc>
        <w:tc>
          <w:tcPr>
            <w:tcW w:w="795"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充电桩分布类型（分散式、集中式）</w:t>
            </w:r>
          </w:p>
        </w:tc>
        <w:tc>
          <w:tcPr>
            <w:tcW w:w="552"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充电类型（快充、慢充）</w:t>
            </w:r>
          </w:p>
        </w:tc>
        <w:tc>
          <w:tcPr>
            <w:tcW w:w="1180"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站址位置</w:t>
            </w:r>
          </w:p>
        </w:tc>
        <w:tc>
          <w:tcPr>
            <w:tcW w:w="209"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直流桩数</w:t>
            </w:r>
          </w:p>
        </w:tc>
        <w:tc>
          <w:tcPr>
            <w:tcW w:w="209"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交流桩数</w:t>
            </w:r>
          </w:p>
        </w:tc>
        <w:tc>
          <w:tcPr>
            <w:tcW w:w="258"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充电桩总数</w:t>
            </w:r>
          </w:p>
        </w:tc>
        <w:tc>
          <w:tcPr>
            <w:tcW w:w="585"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总功率（配置情况）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13"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1</w:t>
            </w:r>
          </w:p>
        </w:tc>
        <w:tc>
          <w:tcPr>
            <w:tcW w:w="792"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特斯拉超级充电站</w:t>
            </w:r>
          </w:p>
        </w:tc>
        <w:tc>
          <w:tcPr>
            <w:tcW w:w="306"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商业用地</w:t>
            </w:r>
          </w:p>
        </w:tc>
        <w:tc>
          <w:tcPr>
            <w:tcW w:w="795"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集中式</w:t>
            </w:r>
          </w:p>
        </w:tc>
        <w:tc>
          <w:tcPr>
            <w:tcW w:w="552"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快充</w:t>
            </w:r>
          </w:p>
        </w:tc>
        <w:tc>
          <w:tcPr>
            <w:tcW w:w="118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滨江大街1号</w:t>
            </w:r>
          </w:p>
        </w:tc>
        <w:tc>
          <w:tcPr>
            <w:tcW w:w="20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3</w:t>
            </w:r>
          </w:p>
        </w:tc>
        <w:tc>
          <w:tcPr>
            <w:tcW w:w="20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0</w:t>
            </w:r>
          </w:p>
        </w:tc>
        <w:tc>
          <w:tcPr>
            <w:tcW w:w="258"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3</w:t>
            </w:r>
          </w:p>
        </w:tc>
        <w:tc>
          <w:tcPr>
            <w:tcW w:w="585"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3×80kW</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13"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2</w:t>
            </w:r>
          </w:p>
        </w:tc>
        <w:tc>
          <w:tcPr>
            <w:tcW w:w="792"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国家电网充电站（桓仁凤鸣加油站）</w:t>
            </w:r>
          </w:p>
        </w:tc>
        <w:tc>
          <w:tcPr>
            <w:tcW w:w="306"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商业用地</w:t>
            </w:r>
          </w:p>
        </w:tc>
        <w:tc>
          <w:tcPr>
            <w:tcW w:w="795"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集中式</w:t>
            </w:r>
          </w:p>
        </w:tc>
        <w:tc>
          <w:tcPr>
            <w:tcW w:w="552"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快充</w:t>
            </w:r>
          </w:p>
        </w:tc>
        <w:tc>
          <w:tcPr>
            <w:tcW w:w="118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长江大街桓仁第二高中南侧约140米</w:t>
            </w:r>
          </w:p>
        </w:tc>
        <w:tc>
          <w:tcPr>
            <w:tcW w:w="20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4</w:t>
            </w:r>
          </w:p>
        </w:tc>
        <w:tc>
          <w:tcPr>
            <w:tcW w:w="20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0</w:t>
            </w:r>
          </w:p>
        </w:tc>
        <w:tc>
          <w:tcPr>
            <w:tcW w:w="258"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4</w:t>
            </w:r>
          </w:p>
        </w:tc>
        <w:tc>
          <w:tcPr>
            <w:tcW w:w="585"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4×80kW</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13"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3</w:t>
            </w:r>
          </w:p>
        </w:tc>
        <w:tc>
          <w:tcPr>
            <w:tcW w:w="792"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桓仁客运站停车场</w:t>
            </w:r>
          </w:p>
        </w:tc>
        <w:tc>
          <w:tcPr>
            <w:tcW w:w="306" w:type="pct"/>
            <w:shd w:val="clear" w:color="auto" w:fill="auto"/>
            <w:noWrap/>
            <w:tcMar>
              <w:top w:w="12" w:type="dxa"/>
              <w:left w:w="12" w:type="dxa"/>
              <w:right w:w="12" w:type="dxa"/>
            </w:tcMar>
            <w:vAlign w:val="center"/>
          </w:tcPr>
          <w:p>
            <w:pPr>
              <w:widowControl/>
              <w:adjustRightInd/>
              <w:snapToGrid/>
              <w:spacing w:line="240" w:lineRule="auto"/>
              <w:jc w:val="center"/>
              <w:rPr>
                <w:rFonts w:hint="eastAsia"/>
                <w:sz w:val="19"/>
              </w:rPr>
            </w:pPr>
            <w:r>
              <w:rPr>
                <w:rFonts w:hint="eastAsia"/>
                <w:sz w:val="19"/>
              </w:rPr>
              <w:t>市政设施用地</w:t>
            </w:r>
          </w:p>
        </w:tc>
        <w:tc>
          <w:tcPr>
            <w:tcW w:w="795"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集中式</w:t>
            </w:r>
          </w:p>
        </w:tc>
        <w:tc>
          <w:tcPr>
            <w:tcW w:w="552"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快充</w:t>
            </w:r>
          </w:p>
        </w:tc>
        <w:tc>
          <w:tcPr>
            <w:tcW w:w="118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桓仁满族自治县八卦城街道客运站</w:t>
            </w:r>
          </w:p>
        </w:tc>
        <w:tc>
          <w:tcPr>
            <w:tcW w:w="20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12</w:t>
            </w:r>
          </w:p>
        </w:tc>
        <w:tc>
          <w:tcPr>
            <w:tcW w:w="20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0</w:t>
            </w:r>
          </w:p>
        </w:tc>
        <w:tc>
          <w:tcPr>
            <w:tcW w:w="258"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12</w:t>
            </w:r>
          </w:p>
        </w:tc>
        <w:tc>
          <w:tcPr>
            <w:tcW w:w="585"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12×80kW</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13"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4</w:t>
            </w:r>
          </w:p>
        </w:tc>
        <w:tc>
          <w:tcPr>
            <w:tcW w:w="792"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云峰山服务区充电站</w:t>
            </w:r>
          </w:p>
        </w:tc>
        <w:tc>
          <w:tcPr>
            <w:tcW w:w="306" w:type="pct"/>
            <w:shd w:val="clear" w:color="auto" w:fill="auto"/>
            <w:noWrap/>
            <w:tcMar>
              <w:top w:w="12" w:type="dxa"/>
              <w:left w:w="12" w:type="dxa"/>
              <w:right w:w="12" w:type="dxa"/>
            </w:tcMar>
            <w:vAlign w:val="center"/>
          </w:tcPr>
          <w:p>
            <w:pPr>
              <w:spacing w:line="240" w:lineRule="auto"/>
              <w:jc w:val="center"/>
              <w:rPr>
                <w:rFonts w:hint="eastAsia"/>
                <w:sz w:val="19"/>
              </w:rPr>
            </w:pPr>
          </w:p>
        </w:tc>
        <w:tc>
          <w:tcPr>
            <w:tcW w:w="795"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集中式</w:t>
            </w:r>
          </w:p>
        </w:tc>
        <w:tc>
          <w:tcPr>
            <w:tcW w:w="552"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快充</w:t>
            </w:r>
            <w:r>
              <w:rPr>
                <w:rFonts w:hint="eastAsia"/>
                <w:sz w:val="19"/>
              </w:rPr>
              <w:t>、慢充</w:t>
            </w:r>
          </w:p>
        </w:tc>
        <w:tc>
          <w:tcPr>
            <w:tcW w:w="118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桓仁满族自治县雅河朝鲜族自治乡云峰山服务区充电站</w:t>
            </w:r>
          </w:p>
        </w:tc>
        <w:tc>
          <w:tcPr>
            <w:tcW w:w="20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2</w:t>
            </w:r>
          </w:p>
        </w:tc>
        <w:tc>
          <w:tcPr>
            <w:tcW w:w="20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2</w:t>
            </w:r>
          </w:p>
        </w:tc>
        <w:tc>
          <w:tcPr>
            <w:tcW w:w="258"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4</w:t>
            </w:r>
          </w:p>
        </w:tc>
        <w:tc>
          <w:tcPr>
            <w:tcW w:w="585"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1×120kW +1×60+2×7kW</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13"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5</w:t>
            </w:r>
          </w:p>
        </w:tc>
        <w:tc>
          <w:tcPr>
            <w:tcW w:w="792"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华来服务区充电站</w:t>
            </w:r>
          </w:p>
        </w:tc>
        <w:tc>
          <w:tcPr>
            <w:tcW w:w="306" w:type="pct"/>
            <w:shd w:val="clear" w:color="auto" w:fill="auto"/>
            <w:noWrap/>
            <w:tcMar>
              <w:top w:w="12" w:type="dxa"/>
              <w:left w:w="12" w:type="dxa"/>
              <w:right w:w="12" w:type="dxa"/>
            </w:tcMar>
            <w:vAlign w:val="center"/>
          </w:tcPr>
          <w:p>
            <w:pPr>
              <w:spacing w:line="240" w:lineRule="auto"/>
              <w:jc w:val="center"/>
              <w:rPr>
                <w:rFonts w:hint="eastAsia"/>
                <w:sz w:val="19"/>
              </w:rPr>
            </w:pPr>
          </w:p>
        </w:tc>
        <w:tc>
          <w:tcPr>
            <w:tcW w:w="795"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集中式</w:t>
            </w:r>
          </w:p>
        </w:tc>
        <w:tc>
          <w:tcPr>
            <w:tcW w:w="552"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快充、慢充</w:t>
            </w:r>
          </w:p>
        </w:tc>
        <w:tc>
          <w:tcPr>
            <w:tcW w:w="118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桓仁满族自治县华来镇华来服务区充电站</w:t>
            </w:r>
          </w:p>
        </w:tc>
        <w:tc>
          <w:tcPr>
            <w:tcW w:w="20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2</w:t>
            </w:r>
          </w:p>
        </w:tc>
        <w:tc>
          <w:tcPr>
            <w:tcW w:w="20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2</w:t>
            </w:r>
          </w:p>
        </w:tc>
        <w:tc>
          <w:tcPr>
            <w:tcW w:w="258"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4</w:t>
            </w:r>
          </w:p>
        </w:tc>
        <w:tc>
          <w:tcPr>
            <w:tcW w:w="585"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2×60kW +2×7kW</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13"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6</w:t>
            </w:r>
          </w:p>
        </w:tc>
        <w:tc>
          <w:tcPr>
            <w:tcW w:w="792"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B</w:t>
            </w:r>
            <w:r>
              <w:rPr>
                <w:sz w:val="19"/>
              </w:rPr>
              <w:t>YD</w:t>
            </w:r>
            <w:r>
              <w:rPr>
                <w:rFonts w:hint="eastAsia"/>
                <w:sz w:val="19"/>
              </w:rPr>
              <w:t>辽宁英汇桓仁专营店</w:t>
            </w:r>
          </w:p>
        </w:tc>
        <w:tc>
          <w:tcPr>
            <w:tcW w:w="306" w:type="pct"/>
            <w:shd w:val="clear" w:color="auto" w:fill="auto"/>
            <w:noWrap/>
            <w:tcMar>
              <w:top w:w="12" w:type="dxa"/>
              <w:left w:w="12" w:type="dxa"/>
              <w:right w:w="12" w:type="dxa"/>
            </w:tcMar>
            <w:vAlign w:val="center"/>
          </w:tcPr>
          <w:p>
            <w:pPr>
              <w:spacing w:line="240" w:lineRule="auto"/>
              <w:jc w:val="center"/>
              <w:rPr>
                <w:rFonts w:hint="eastAsia"/>
                <w:sz w:val="19"/>
              </w:rPr>
            </w:pPr>
          </w:p>
        </w:tc>
        <w:tc>
          <w:tcPr>
            <w:tcW w:w="795"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集中式</w:t>
            </w:r>
          </w:p>
        </w:tc>
        <w:tc>
          <w:tcPr>
            <w:tcW w:w="552"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快充</w:t>
            </w:r>
          </w:p>
        </w:tc>
        <w:tc>
          <w:tcPr>
            <w:tcW w:w="118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桓仁镇B</w:t>
            </w:r>
            <w:r>
              <w:rPr>
                <w:sz w:val="19"/>
              </w:rPr>
              <w:t>YD</w:t>
            </w:r>
            <w:r>
              <w:rPr>
                <w:rFonts w:hint="eastAsia"/>
                <w:sz w:val="19"/>
              </w:rPr>
              <w:t>辽宁英汇桓仁专营店</w:t>
            </w:r>
          </w:p>
        </w:tc>
        <w:tc>
          <w:tcPr>
            <w:tcW w:w="20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8</w:t>
            </w:r>
          </w:p>
        </w:tc>
        <w:tc>
          <w:tcPr>
            <w:tcW w:w="20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0</w:t>
            </w:r>
          </w:p>
        </w:tc>
        <w:tc>
          <w:tcPr>
            <w:tcW w:w="258"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8</w:t>
            </w:r>
          </w:p>
        </w:tc>
        <w:tc>
          <w:tcPr>
            <w:tcW w:w="585"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8×3</w:t>
            </w:r>
            <w:r>
              <w:rPr>
                <w:sz w:val="19"/>
              </w:rPr>
              <w:t>0</w:t>
            </w:r>
            <w:r>
              <w:rPr>
                <w:rFonts w:hint="eastAsia"/>
                <w:sz w:val="19"/>
              </w:rPr>
              <w:t xml:space="preserve"> kW</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13"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7</w:t>
            </w:r>
          </w:p>
        </w:tc>
        <w:tc>
          <w:tcPr>
            <w:tcW w:w="792"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桓仁满族自治县五女山山城停车场</w:t>
            </w:r>
          </w:p>
        </w:tc>
        <w:tc>
          <w:tcPr>
            <w:tcW w:w="306" w:type="pct"/>
            <w:shd w:val="clear" w:color="auto" w:fill="auto"/>
            <w:noWrap/>
            <w:tcMar>
              <w:top w:w="12" w:type="dxa"/>
              <w:left w:w="12" w:type="dxa"/>
              <w:right w:w="12" w:type="dxa"/>
            </w:tcMar>
            <w:vAlign w:val="center"/>
          </w:tcPr>
          <w:p>
            <w:pPr>
              <w:spacing w:line="240" w:lineRule="auto"/>
              <w:jc w:val="center"/>
              <w:rPr>
                <w:rFonts w:hint="eastAsia"/>
                <w:sz w:val="19"/>
              </w:rPr>
            </w:pPr>
          </w:p>
        </w:tc>
        <w:tc>
          <w:tcPr>
            <w:tcW w:w="795"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集中式</w:t>
            </w:r>
          </w:p>
        </w:tc>
        <w:tc>
          <w:tcPr>
            <w:tcW w:w="552"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慢充</w:t>
            </w:r>
          </w:p>
        </w:tc>
        <w:tc>
          <w:tcPr>
            <w:tcW w:w="118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泰山路33号</w:t>
            </w:r>
          </w:p>
        </w:tc>
        <w:tc>
          <w:tcPr>
            <w:tcW w:w="20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0</w:t>
            </w:r>
          </w:p>
        </w:tc>
        <w:tc>
          <w:tcPr>
            <w:tcW w:w="20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10</w:t>
            </w:r>
          </w:p>
        </w:tc>
        <w:tc>
          <w:tcPr>
            <w:tcW w:w="258"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10</w:t>
            </w:r>
          </w:p>
        </w:tc>
        <w:tc>
          <w:tcPr>
            <w:tcW w:w="585"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10×7kW</w:t>
            </w:r>
          </w:p>
        </w:tc>
      </w:tr>
    </w:tbl>
    <w:p>
      <w:pPr>
        <w:spacing w:line="360" w:lineRule="auto"/>
        <w:ind w:firstLine="561"/>
        <w:rPr>
          <w:rFonts w:hint="eastAsia"/>
        </w:rPr>
      </w:pPr>
      <w:r>
        <w:rPr>
          <w:rFonts w:hint="eastAsia"/>
        </w:rPr>
        <w:t>由上表可知，桓仁满族自治县范围内7个充电站均为公用充电站，其中直流充电桩31台，交流充电桩14台。桓仁满族自治县范围内可供小汽车使用的公共充电桩共45个，数量分布在城区、高速服务站，发展及分布不均衡。随着电动汽车快速发展，保有量迅速增长，现有充电桩数量难以满足桓仁满族自治县现状电动汽车公共充电需求。</w:t>
      </w:r>
    </w:p>
    <w:p>
      <w:pPr>
        <w:spacing w:line="240" w:lineRule="auto"/>
        <w:rPr>
          <w:rFonts w:hint="eastAsia"/>
        </w:rPr>
      </w:pPr>
      <w:r>
        <w:rPr>
          <w:rFonts w:hint="eastAsia"/>
        </w:rPr>
        <w:drawing>
          <wp:inline distT="0" distB="0" distL="114300" distR="114300">
            <wp:extent cx="5244465" cy="3710305"/>
            <wp:effectExtent l="0" t="0" r="13335" b="4445"/>
            <wp:docPr id="7" name="图片 7" descr="111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111111111"/>
                    <pic:cNvPicPr>
                      <a:picLocks noChangeAspect="1"/>
                    </pic:cNvPicPr>
                  </pic:nvPicPr>
                  <pic:blipFill>
                    <a:blip r:embed="rId16"/>
                    <a:stretch>
                      <a:fillRect/>
                    </a:stretch>
                  </pic:blipFill>
                  <pic:spPr>
                    <a:xfrm>
                      <a:off x="0" y="0"/>
                      <a:ext cx="5244465" cy="3710305"/>
                    </a:xfrm>
                    <a:prstGeom prst="rect">
                      <a:avLst/>
                    </a:prstGeom>
                  </pic:spPr>
                </pic:pic>
              </a:graphicData>
            </a:graphic>
          </wp:inline>
        </w:drawing>
      </w:r>
    </w:p>
    <w:p>
      <w:pPr>
        <w:pStyle w:val="8"/>
      </w:pPr>
      <w:r>
        <w:rPr>
          <w:rFonts w:hint="eastAsia"/>
        </w:rPr>
        <w:t>桓仁满族自治县现状年充电设施点位</w:t>
      </w:r>
    </w:p>
    <w:p>
      <w:pPr>
        <w:pStyle w:val="3"/>
      </w:pPr>
      <w:r>
        <w:rPr>
          <w:rFonts w:hint="eastAsia"/>
          <w:szCs w:val="22"/>
        </w:rPr>
        <w:t>现状问题总结</w:t>
      </w:r>
    </w:p>
    <w:p>
      <w:pPr>
        <w:spacing w:line="360" w:lineRule="auto"/>
        <w:ind w:firstLine="561"/>
        <w:rPr>
          <w:rFonts w:hint="eastAsia"/>
        </w:rPr>
      </w:pPr>
      <w:r>
        <w:rPr>
          <w:rFonts w:hint="eastAsia"/>
        </w:rPr>
        <w:t>随着社会经济的快速发展，经济活动日益频繁。为电动汽车的普及提供了良好的社会环境。同时，居民生活水平的提升和对环保出行的日益关注，使得电动汽车成为越来越多人的选择。然而，与电动汽车快速发展相伴随的是对充电设施需求的急剧增长。目前，桓仁满族自治县内的充电设施建设取得了一定的进展，但仍然存在一些问题和不足。</w:t>
      </w:r>
    </w:p>
    <w:p>
      <w:pPr>
        <w:spacing w:line="360" w:lineRule="auto"/>
        <w:ind w:firstLine="561"/>
        <w:rPr>
          <w:rFonts w:hint="eastAsia"/>
          <w:b/>
          <w:bCs/>
        </w:rPr>
      </w:pPr>
      <w:r>
        <w:rPr>
          <w:rFonts w:hint="eastAsia"/>
          <w:b/>
          <w:bCs/>
        </w:rPr>
        <w:t>（1）布局建设涉及点多面广，设施落地难度</w:t>
      </w:r>
    </w:p>
    <w:p>
      <w:pPr>
        <w:spacing w:line="360" w:lineRule="auto"/>
        <w:ind w:firstLine="561"/>
        <w:rPr>
          <w:rFonts w:hint="eastAsia"/>
        </w:rPr>
      </w:pPr>
      <w:r>
        <w:rPr>
          <w:rFonts w:hint="eastAsia"/>
        </w:rPr>
        <w:t>充电设施的建设涉及城市规划、建设用地、建筑物及配电网改造道路管线改造、拆迁、产权归属等问题。实施过程中，布局建设难度较大，协调难度较高。部分老旧居民区因停车位不固定、电力容量不足、改造空间受限、物业服务企业要求高等原因，充电设施安装困难。</w:t>
      </w:r>
    </w:p>
    <w:p>
      <w:pPr>
        <w:spacing w:line="360" w:lineRule="auto"/>
        <w:ind w:firstLine="561"/>
        <w:rPr>
          <w:rFonts w:hint="eastAsia"/>
          <w:b/>
          <w:bCs/>
        </w:rPr>
      </w:pPr>
      <w:r>
        <w:rPr>
          <w:rFonts w:hint="eastAsia"/>
          <w:b/>
          <w:bCs/>
        </w:rPr>
        <w:t>（2）经济效益较低，市场驱动力不足</w:t>
      </w:r>
    </w:p>
    <w:p>
      <w:pPr>
        <w:spacing w:line="360" w:lineRule="auto"/>
        <w:ind w:firstLine="561"/>
        <w:rPr>
          <w:rFonts w:hint="eastAsia"/>
        </w:rPr>
      </w:pPr>
      <w:r>
        <w:rPr>
          <w:rFonts w:hint="eastAsia"/>
        </w:rPr>
        <w:t>充电设施发展初期，由于电动汽车保有量较低，商业模式探索处于起步阶段，设施利用率整体偏低，经济效益较低。在面向社会公众的公共充电服务领域，部分充电设施运营企业处于微利甚至亏损状态。依靠运营赢利来吸引投资建设营运充电设施的市场驱动力不足。</w:t>
      </w:r>
    </w:p>
    <w:p>
      <w:pPr>
        <w:spacing w:line="360" w:lineRule="auto"/>
        <w:ind w:firstLine="561"/>
        <w:rPr>
          <w:rFonts w:hint="eastAsia"/>
          <w:b/>
          <w:bCs/>
        </w:rPr>
      </w:pPr>
      <w:r>
        <w:rPr>
          <w:rFonts w:hint="eastAsia"/>
          <w:b/>
          <w:bCs/>
        </w:rPr>
        <w:t>（3）设施运维管理缺失，服务水平亟待提高</w:t>
      </w:r>
    </w:p>
    <w:p>
      <w:pPr>
        <w:spacing w:line="360" w:lineRule="auto"/>
        <w:ind w:firstLine="561"/>
        <w:rPr>
          <w:rFonts w:hint="eastAsia"/>
        </w:rPr>
      </w:pPr>
      <w:r>
        <w:rPr>
          <w:rFonts w:hint="eastAsia"/>
        </w:rPr>
        <w:t>一方面，目前充电设施行业门槛较低，部分充电设施运营企业从业时间不长，对充电设施的管理不专业、不规范，造成充电设备品质参差不齐，车桩兼容性不够。部分充电设施运营商在建设、管理、运营和服务上降低标准，存在一定的质量、安全隐患。另一方面，车桩-网之间配合度不高，新能源汽车未能在有序用电、需求响应等场景发挥重要作用。</w:t>
      </w:r>
    </w:p>
    <w:p>
      <w:pPr>
        <w:spacing w:line="360" w:lineRule="auto"/>
        <w:ind w:firstLine="561"/>
        <w:rPr>
          <w:rFonts w:hint="eastAsia"/>
        </w:rPr>
      </w:pPr>
      <w:r>
        <w:rPr>
          <w:rFonts w:hint="eastAsia"/>
          <w:b/>
          <w:bCs/>
        </w:rPr>
        <w:t>（4）充电设施的布局不够均衡</w:t>
      </w:r>
    </w:p>
    <w:p>
      <w:pPr>
        <w:spacing w:line="360" w:lineRule="auto"/>
        <w:ind w:firstLine="561"/>
        <w:rPr>
          <w:rFonts w:hint="eastAsia"/>
        </w:rPr>
      </w:pPr>
      <w:r>
        <w:rPr>
          <w:rFonts w:hint="eastAsia"/>
        </w:rPr>
        <w:t>一方面，充电设施主要集中在城市中心区，而城市郊区和部分人口密集区的充电设施相对较少，导致电动汽车在居住区内的充电不便。另一方面，充电设施的数量和规模尚不能满足日益增长的电动汽车充电需求，特别是在高峰时段，充电桩的使用率常常达到饱和状态。</w:t>
      </w:r>
      <w:r>
        <w:t>充电设施的供需矛盾日益凸显。现有的充电设施数量和规模无法满足市场需求，导致充电难、充电慢等问题频发。</w:t>
      </w:r>
      <w:r>
        <w:rPr>
          <w:rFonts w:hint="eastAsia"/>
        </w:rPr>
        <w:t>同时</w:t>
      </w:r>
      <w:r>
        <w:t>充电设施的布局缺乏科学规划，未能充分考虑城市交通流量、人口分布等因素，导致部分区域充电设施过剩，而另一些区域则供不应求。</w:t>
      </w:r>
    </w:p>
    <w:p>
      <w:pPr>
        <w:rPr>
          <w:rFonts w:hint="eastAsia"/>
        </w:rPr>
      </w:pPr>
    </w:p>
    <w:p>
      <w:pPr>
        <w:pStyle w:val="8"/>
      </w:pPr>
      <w:r>
        <w:br w:type="page"/>
      </w:r>
    </w:p>
    <w:p>
      <w:pPr>
        <w:pStyle w:val="2"/>
      </w:pPr>
      <w:bookmarkStart w:id="47" w:name="_Toc94186580"/>
      <w:bookmarkStart w:id="48" w:name="_Toc19807"/>
      <w:bookmarkStart w:id="49" w:name="_Toc164589839"/>
      <w:bookmarkStart w:id="50" w:name="_Toc199841971"/>
      <w:r>
        <w:rPr>
          <w:b w:val="0"/>
          <w:color w:val="000000" w:themeColor="text1"/>
          <w14:textFill>
            <w14:solidFill>
              <w14:schemeClr w14:val="tx1"/>
            </w14:solidFill>
          </w14:textFill>
        </w:rPr>
        <w:t>规划分区</w:t>
      </w:r>
      <w:bookmarkEnd w:id="47"/>
      <w:bookmarkEnd w:id="48"/>
    </w:p>
    <w:p>
      <w:pPr>
        <w:spacing w:line="360" w:lineRule="auto"/>
        <w:ind w:firstLine="560" w:firstLineChars="200"/>
        <w:rPr>
          <w:rFonts w:hint="eastAsia" w:cs="仿宋_GB2312"/>
          <w:color w:val="000000" w:themeColor="text1"/>
          <w:szCs w:val="22"/>
          <w14:textFill>
            <w14:solidFill>
              <w14:schemeClr w14:val="tx1"/>
            </w14:solidFill>
          </w14:textFill>
        </w:rPr>
      </w:pPr>
      <w:r>
        <w:rPr>
          <w:rFonts w:hint="eastAsia" w:cs="仿宋_GB2312"/>
          <w:color w:val="000000" w:themeColor="text1"/>
          <w:szCs w:val="22"/>
          <w14:textFill>
            <w14:solidFill>
              <w14:schemeClr w14:val="tx1"/>
            </w14:solidFill>
          </w14:textFill>
        </w:rPr>
        <w:t>用户有充电需求时，通常都会寻找离自己最近的充电站为车辆充电，这样就出现了充电需求区域分布情况。在进行充电站布局规划时需要对规划地区的充电需求进行合理划分，根据规划地区用户、充电车辆间不同的充电需求特征，按一定原则将规划地区充电需求分成多个小的区域。</w:t>
      </w:r>
    </w:p>
    <w:p>
      <w:pPr>
        <w:pStyle w:val="3"/>
      </w:pPr>
      <w:bookmarkStart w:id="51" w:name="_Toc29434"/>
      <w:bookmarkStart w:id="52" w:name="_Toc94186581"/>
      <w:r>
        <w:rPr>
          <w:color w:val="000000" w:themeColor="text1"/>
          <w14:textFill>
            <w14:solidFill>
              <w14:schemeClr w14:val="tx1"/>
            </w14:solidFill>
          </w14:textFill>
        </w:rPr>
        <w:t>分区原则</w:t>
      </w:r>
      <w:bookmarkEnd w:id="51"/>
      <w:bookmarkEnd w:id="52"/>
    </w:p>
    <w:p>
      <w:pPr>
        <w:spacing w:line="360" w:lineRule="auto"/>
        <w:ind w:firstLine="560" w:firstLineChars="200"/>
        <w:rPr>
          <w:rFonts w:hint="eastAsia" w:cs="仿宋_GB2312"/>
          <w:color w:val="000000" w:themeColor="text1"/>
          <w:szCs w:val="22"/>
          <w14:textFill>
            <w14:solidFill>
              <w14:schemeClr w14:val="tx1"/>
            </w14:solidFill>
          </w14:textFill>
        </w:rPr>
      </w:pPr>
      <w:r>
        <w:rPr>
          <w:rFonts w:hint="eastAsia" w:cs="仿宋_GB2312"/>
          <w:color w:val="000000" w:themeColor="text1"/>
          <w:szCs w:val="22"/>
          <w14:textFill>
            <w14:solidFill>
              <w14:schemeClr w14:val="tx1"/>
            </w14:solidFill>
          </w14:textFill>
        </w:rPr>
        <w:t>1、城市公共充电网络规划分区应以行政区划为基础，形成“充电网络、充电片区、充电块区”三级规划分区体系。</w:t>
      </w:r>
    </w:p>
    <w:p>
      <w:pPr>
        <w:spacing w:line="360" w:lineRule="auto"/>
        <w:ind w:firstLine="560" w:firstLineChars="200"/>
        <w:rPr>
          <w:rFonts w:hint="eastAsia" w:cs="仿宋_GB2312"/>
          <w:color w:val="000000" w:themeColor="text1"/>
          <w:szCs w:val="22"/>
          <w14:textFill>
            <w14:solidFill>
              <w14:schemeClr w14:val="tx1"/>
            </w14:solidFill>
          </w14:textFill>
        </w:rPr>
      </w:pPr>
      <w:r>
        <w:rPr>
          <w:rFonts w:hint="eastAsia" w:cs="仿宋_GB2312"/>
          <w:color w:val="000000" w:themeColor="text1"/>
          <w:szCs w:val="22"/>
          <w14:textFill>
            <w14:solidFill>
              <w14:schemeClr w14:val="tx1"/>
            </w14:solidFill>
          </w14:textFill>
        </w:rPr>
        <w:t>2、城市公共充电网络按照充电需求规模适度、管理责任明确的原则进行划分，主要考虑分区独立性、管理便利性等需求。</w:t>
      </w:r>
    </w:p>
    <w:p>
      <w:pPr>
        <w:spacing w:line="360" w:lineRule="auto"/>
        <w:ind w:firstLine="560" w:firstLineChars="200"/>
        <w:rPr>
          <w:rFonts w:hint="eastAsia" w:cs="仿宋_GB2312"/>
          <w:color w:val="000000" w:themeColor="text1"/>
          <w:szCs w:val="22"/>
          <w14:textFill>
            <w14:solidFill>
              <w14:schemeClr w14:val="tx1"/>
            </w14:solidFill>
          </w14:textFill>
        </w:rPr>
      </w:pPr>
      <w:r>
        <w:rPr>
          <w:rFonts w:hint="eastAsia" w:cs="仿宋_GB2312"/>
          <w:color w:val="000000" w:themeColor="text1"/>
          <w:szCs w:val="22"/>
          <w14:textFill>
            <w14:solidFill>
              <w14:schemeClr w14:val="tx1"/>
            </w14:solidFill>
          </w14:textFill>
        </w:rPr>
        <w:t>3、充电片区应以区、县为基本单元。</w:t>
      </w:r>
    </w:p>
    <w:p>
      <w:pPr>
        <w:spacing w:line="360" w:lineRule="auto"/>
        <w:ind w:firstLine="560" w:firstLineChars="200"/>
        <w:rPr>
          <w:rFonts w:hint="eastAsia" w:cs="仿宋_GB2312"/>
          <w:color w:val="000000" w:themeColor="text1"/>
          <w:szCs w:val="22"/>
          <w14:textFill>
            <w14:solidFill>
              <w14:schemeClr w14:val="tx1"/>
            </w14:solidFill>
          </w14:textFill>
        </w:rPr>
      </w:pPr>
      <w:r>
        <w:rPr>
          <w:rFonts w:hint="eastAsia" w:cs="仿宋_GB2312"/>
          <w:color w:val="000000" w:themeColor="text1"/>
          <w:szCs w:val="22"/>
          <w14:textFill>
            <w14:solidFill>
              <w14:schemeClr w14:val="tx1"/>
            </w14:solidFill>
          </w14:textFill>
        </w:rPr>
        <w:t>4、充电块区应以街道、乡镇为基本单元。当街道、乡镇充电需求较小时，可多个街道、乡镇合并为一个充电块区。</w:t>
      </w:r>
    </w:p>
    <w:p>
      <w:pPr>
        <w:spacing w:line="360" w:lineRule="auto"/>
        <w:ind w:firstLine="560" w:firstLineChars="200"/>
        <w:rPr>
          <w:rFonts w:hint="eastAsia" w:cs="仿宋_GB2312"/>
          <w:color w:val="000000" w:themeColor="text1"/>
          <w:szCs w:val="22"/>
          <w14:textFill>
            <w14:solidFill>
              <w14:schemeClr w14:val="tx1"/>
            </w14:solidFill>
          </w14:textFill>
        </w:rPr>
      </w:pPr>
      <w:r>
        <w:rPr>
          <w:rFonts w:hint="eastAsia" w:cs="仿宋_GB2312"/>
          <w:color w:val="000000" w:themeColor="text1"/>
          <w:szCs w:val="22"/>
          <w14:textFill>
            <w14:solidFill>
              <w14:schemeClr w14:val="tx1"/>
            </w14:solidFill>
          </w14:textFill>
        </w:rPr>
        <w:t>5、以用户充电需求集中区域为中心进行四周扩散，同时需要合理考虑车辆的续驶里程，划分的小区不宜过大。</w:t>
      </w:r>
    </w:p>
    <w:p>
      <w:pPr>
        <w:spacing w:line="360" w:lineRule="auto"/>
        <w:ind w:firstLine="560" w:firstLineChars="200"/>
        <w:rPr>
          <w:rFonts w:hint="eastAsia" w:cs="仿宋_GB2312"/>
          <w:color w:val="000000" w:themeColor="text1"/>
          <w:szCs w:val="22"/>
          <w14:textFill>
            <w14:solidFill>
              <w14:schemeClr w14:val="tx1"/>
            </w14:solidFill>
          </w14:textFill>
        </w:rPr>
      </w:pPr>
      <w:r>
        <w:rPr>
          <w:rFonts w:hint="eastAsia" w:cs="仿宋_GB2312"/>
          <w:color w:val="000000" w:themeColor="text1"/>
          <w:szCs w:val="22"/>
          <w14:textFill>
            <w14:solidFill>
              <w14:schemeClr w14:val="tx1"/>
            </w14:solidFill>
          </w14:textFill>
        </w:rPr>
        <w:t>6、</w:t>
      </w:r>
      <w:r>
        <w:rPr>
          <w:rFonts w:cs="仿宋_GB2312"/>
          <w:color w:val="000000" w:themeColor="text1"/>
          <w:szCs w:val="22"/>
          <w14:textFill>
            <w14:solidFill>
              <w14:schemeClr w14:val="tx1"/>
            </w14:solidFill>
          </w14:textFill>
        </w:rPr>
        <w:t>考虑区域用地性质。由于不同的用地性质对充电用户的吸引力不同，而且对充电站的建造类型也有影响，所以充电需求小区可根据用地性质相同或者相近来组合。</w:t>
      </w:r>
    </w:p>
    <w:p>
      <w:pPr>
        <w:spacing w:line="360" w:lineRule="auto"/>
        <w:ind w:firstLine="560" w:firstLineChars="200"/>
        <w:rPr>
          <w:rFonts w:hint="eastAsia" w:cs="仿宋_GB2312"/>
          <w:color w:val="000000" w:themeColor="text1"/>
          <w:szCs w:val="22"/>
          <w14:textFill>
            <w14:solidFill>
              <w14:schemeClr w14:val="tx1"/>
            </w14:solidFill>
          </w14:textFill>
        </w:rPr>
      </w:pPr>
      <w:r>
        <w:rPr>
          <w:rFonts w:hint="eastAsia" w:cs="仿宋_GB2312"/>
          <w:color w:val="000000" w:themeColor="text1"/>
          <w:szCs w:val="22"/>
          <w14:textFill>
            <w14:solidFill>
              <w14:schemeClr w14:val="tx1"/>
            </w14:solidFill>
          </w14:textFill>
        </w:rPr>
        <w:t>7、充电网络、充电片区、充电块区各级间应相互衔接、上下协调。</w:t>
      </w:r>
    </w:p>
    <w:p>
      <w:pPr>
        <w:pStyle w:val="3"/>
      </w:pPr>
      <w:bookmarkStart w:id="53" w:name="_Toc94186582"/>
      <w:bookmarkStart w:id="54" w:name="_Toc5891"/>
      <w:r>
        <w:rPr>
          <w:rFonts w:hint="eastAsia"/>
          <w:color w:val="000000" w:themeColor="text1"/>
          <w14:textFill>
            <w14:solidFill>
              <w14:schemeClr w14:val="tx1"/>
            </w14:solidFill>
          </w14:textFill>
        </w:rPr>
        <w:t>块区划分</w:t>
      </w:r>
      <w:r>
        <w:rPr>
          <w:color w:val="000000" w:themeColor="text1"/>
          <w14:textFill>
            <w14:solidFill>
              <w14:schemeClr w14:val="tx1"/>
            </w14:solidFill>
          </w14:textFill>
        </w:rPr>
        <w:t>结果</w:t>
      </w:r>
      <w:bookmarkEnd w:id="53"/>
      <w:bookmarkEnd w:id="54"/>
    </w:p>
    <w:p>
      <w:pPr>
        <w:spacing w:line="360" w:lineRule="auto"/>
        <w:ind w:firstLine="560" w:firstLineChars="200"/>
        <w:rPr>
          <w:rFonts w:hint="eastAsia" w:cs="仿宋_GB2312"/>
          <w:color w:val="FF0000"/>
          <w:szCs w:val="22"/>
        </w:rPr>
      </w:pPr>
      <w:r>
        <w:rPr>
          <w:rFonts w:hint="eastAsia" w:cs="仿宋_GB2312"/>
          <w:szCs w:val="22"/>
        </w:rPr>
        <w:t>根据规划分区原则，桓仁满族自治县公共充电网络的一个片区，即桓仁满族自治县片区。按照街道、乡镇分布情况，进一步划分为1</w:t>
      </w:r>
      <w:r>
        <w:rPr>
          <w:rFonts w:cs="仿宋_GB2312"/>
          <w:szCs w:val="22"/>
        </w:rPr>
        <w:t>3</w:t>
      </w:r>
      <w:r>
        <w:rPr>
          <w:rFonts w:hint="eastAsia" w:cs="仿宋_GB2312"/>
          <w:szCs w:val="22"/>
        </w:rPr>
        <w:t>个充电块区，分别为</w:t>
      </w:r>
      <w:r>
        <w:rPr>
          <w:rFonts w:hint="eastAsia"/>
        </w:rPr>
        <w:t>八卦城块区、桓仁镇块区、普乐堡镇块区、二棚甸子镇块区、沙尖子镇块区、五里甸子镇块区、八里甸子镇块区、华来镇块区、古城镇块区、雅河朝鲜族乡块区、向阳乡块区、黑沟乡块区、北甸子乡块区。</w:t>
      </w:r>
    </w:p>
    <w:p>
      <w:pPr>
        <w:pStyle w:val="7"/>
      </w:pPr>
      <w:r>
        <w:rPr>
          <w:rFonts w:hint="eastAsia"/>
        </w:rPr>
        <w:t>桓仁满族自治县充电块区划分情况</w:t>
      </w: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1766"/>
        <w:gridCol w:w="1576"/>
        <w:gridCol w:w="2811"/>
        <w:gridCol w:w="220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873" w:type="pct"/>
            <w:shd w:val="clear" w:color="auto" w:fill="D9D9D9"/>
            <w:noWrap/>
            <w:vAlign w:val="center"/>
          </w:tcPr>
          <w:p>
            <w:pPr>
              <w:spacing w:line="240" w:lineRule="auto"/>
              <w:jc w:val="center"/>
              <w:rPr>
                <w:rFonts w:hint="eastAsia"/>
                <w:b/>
                <w:sz w:val="19"/>
              </w:rPr>
            </w:pPr>
            <w:r>
              <w:rPr>
                <w:b/>
                <w:sz w:val="19"/>
              </w:rPr>
              <w:t>充电片区</w:t>
            </w:r>
          </w:p>
        </w:tc>
        <w:tc>
          <w:tcPr>
            <w:tcW w:w="929" w:type="pct"/>
            <w:shd w:val="clear" w:color="auto" w:fill="D9D9D9"/>
            <w:noWrap/>
            <w:vAlign w:val="center"/>
          </w:tcPr>
          <w:p>
            <w:pPr>
              <w:spacing w:line="240" w:lineRule="auto"/>
              <w:jc w:val="center"/>
              <w:rPr>
                <w:rFonts w:hint="eastAsia"/>
                <w:b/>
                <w:sz w:val="19"/>
              </w:rPr>
            </w:pPr>
            <w:r>
              <w:rPr>
                <w:b/>
                <w:sz w:val="19"/>
              </w:rPr>
              <w:t>充电块区</w:t>
            </w:r>
          </w:p>
        </w:tc>
        <w:tc>
          <w:tcPr>
            <w:tcW w:w="1779" w:type="pct"/>
            <w:shd w:val="clear" w:color="auto" w:fill="D9D9D9"/>
            <w:noWrap/>
            <w:vAlign w:val="center"/>
          </w:tcPr>
          <w:p>
            <w:pPr>
              <w:spacing w:line="240" w:lineRule="auto"/>
              <w:jc w:val="center"/>
              <w:rPr>
                <w:rFonts w:hint="eastAsia"/>
                <w:b/>
                <w:sz w:val="19"/>
              </w:rPr>
            </w:pPr>
            <w:r>
              <w:rPr>
                <w:b/>
                <w:sz w:val="19"/>
              </w:rPr>
              <w:t>覆盖范围</w:t>
            </w:r>
          </w:p>
        </w:tc>
        <w:tc>
          <w:tcPr>
            <w:tcW w:w="1419" w:type="pct"/>
            <w:shd w:val="clear" w:color="auto" w:fill="D9D9D9"/>
            <w:noWrap/>
            <w:vAlign w:val="center"/>
          </w:tcPr>
          <w:p>
            <w:pPr>
              <w:spacing w:line="240" w:lineRule="auto"/>
              <w:jc w:val="center"/>
              <w:rPr>
                <w:rFonts w:hint="eastAsia"/>
                <w:b/>
                <w:sz w:val="19"/>
              </w:rPr>
            </w:pPr>
            <w:r>
              <w:rPr>
                <w:b/>
                <w:sz w:val="19"/>
              </w:rPr>
              <w:t>区域特点</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873" w:type="pct"/>
            <w:vMerge w:val="restart"/>
            <w:shd w:val="clear" w:color="auto" w:fill="auto"/>
            <w:noWrap/>
            <w:vAlign w:val="center"/>
          </w:tcPr>
          <w:p>
            <w:pPr>
              <w:spacing w:line="240" w:lineRule="auto"/>
              <w:jc w:val="center"/>
              <w:rPr>
                <w:rFonts w:hint="eastAsia"/>
                <w:sz w:val="19"/>
              </w:rPr>
            </w:pPr>
            <w:r>
              <w:rPr>
                <w:rFonts w:hint="eastAsia"/>
                <w:sz w:val="19"/>
              </w:rPr>
              <w:t>桓仁满族自治县</w:t>
            </w:r>
            <w:r>
              <w:rPr>
                <w:sz w:val="19"/>
              </w:rPr>
              <w:t>片区</w:t>
            </w:r>
          </w:p>
        </w:tc>
        <w:tc>
          <w:tcPr>
            <w:tcW w:w="929" w:type="pct"/>
            <w:shd w:val="clear" w:color="auto" w:fill="auto"/>
            <w:noWrap/>
            <w:vAlign w:val="center"/>
          </w:tcPr>
          <w:p>
            <w:pPr>
              <w:spacing w:line="240" w:lineRule="auto"/>
              <w:jc w:val="center"/>
              <w:rPr>
                <w:rFonts w:hint="eastAsia"/>
                <w:sz w:val="19"/>
              </w:rPr>
            </w:pPr>
            <w:r>
              <w:rPr>
                <w:rFonts w:hint="eastAsia"/>
                <w:sz w:val="19"/>
              </w:rPr>
              <w:t>八卦城</w:t>
            </w:r>
            <w:r>
              <w:rPr>
                <w:sz w:val="19"/>
              </w:rPr>
              <w:t>块区</w:t>
            </w:r>
          </w:p>
        </w:tc>
        <w:tc>
          <w:tcPr>
            <w:tcW w:w="1779" w:type="pct"/>
            <w:shd w:val="clear" w:color="auto" w:fill="auto"/>
            <w:noWrap/>
            <w:vAlign w:val="center"/>
          </w:tcPr>
          <w:p>
            <w:pPr>
              <w:spacing w:line="240" w:lineRule="auto"/>
              <w:jc w:val="center"/>
              <w:rPr>
                <w:rFonts w:hint="eastAsia"/>
                <w:sz w:val="19"/>
              </w:rPr>
            </w:pPr>
            <w:r>
              <w:rPr>
                <w:rFonts w:hint="eastAsia"/>
                <w:sz w:val="19"/>
              </w:rPr>
              <w:t>八卦城</w:t>
            </w:r>
            <w:r>
              <w:rPr>
                <w:sz w:val="19"/>
              </w:rPr>
              <w:t>全境</w:t>
            </w:r>
          </w:p>
        </w:tc>
        <w:tc>
          <w:tcPr>
            <w:tcW w:w="1419" w:type="pct"/>
            <w:shd w:val="clear" w:color="auto" w:fill="auto"/>
            <w:noWrap/>
            <w:vAlign w:val="center"/>
          </w:tcPr>
          <w:p>
            <w:pPr>
              <w:spacing w:line="240" w:lineRule="auto"/>
              <w:jc w:val="center"/>
              <w:rPr>
                <w:rFonts w:hint="eastAsia"/>
                <w:sz w:val="19"/>
              </w:rPr>
            </w:pPr>
            <w:r>
              <w:rPr>
                <w:sz w:val="19"/>
              </w:rPr>
              <w:t>居住、商业为主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873" w:type="pct"/>
            <w:vMerge w:val="continue"/>
            <w:shd w:val="clear" w:color="auto" w:fill="auto"/>
            <w:vAlign w:val="center"/>
          </w:tcPr>
          <w:p>
            <w:pPr>
              <w:spacing w:line="240" w:lineRule="auto"/>
              <w:jc w:val="center"/>
              <w:rPr>
                <w:rFonts w:hint="eastAsia"/>
                <w:sz w:val="19"/>
              </w:rPr>
            </w:pPr>
          </w:p>
        </w:tc>
        <w:tc>
          <w:tcPr>
            <w:tcW w:w="929" w:type="pct"/>
            <w:shd w:val="clear" w:color="auto" w:fill="auto"/>
            <w:noWrap/>
            <w:vAlign w:val="center"/>
          </w:tcPr>
          <w:p>
            <w:pPr>
              <w:spacing w:line="240" w:lineRule="auto"/>
              <w:jc w:val="center"/>
              <w:rPr>
                <w:rFonts w:hint="eastAsia"/>
                <w:sz w:val="19"/>
              </w:rPr>
            </w:pPr>
            <w:r>
              <w:rPr>
                <w:rFonts w:hint="eastAsia"/>
                <w:sz w:val="19"/>
              </w:rPr>
              <w:t>桓仁镇</w:t>
            </w:r>
            <w:r>
              <w:rPr>
                <w:sz w:val="19"/>
              </w:rPr>
              <w:t>块区</w:t>
            </w:r>
          </w:p>
        </w:tc>
        <w:tc>
          <w:tcPr>
            <w:tcW w:w="1779" w:type="pct"/>
            <w:shd w:val="clear" w:color="auto" w:fill="auto"/>
            <w:noWrap/>
            <w:vAlign w:val="center"/>
          </w:tcPr>
          <w:p>
            <w:pPr>
              <w:spacing w:line="240" w:lineRule="auto"/>
              <w:jc w:val="center"/>
              <w:rPr>
                <w:rFonts w:hint="eastAsia"/>
                <w:sz w:val="19"/>
              </w:rPr>
            </w:pPr>
            <w:r>
              <w:rPr>
                <w:rFonts w:hint="eastAsia"/>
                <w:sz w:val="19"/>
              </w:rPr>
              <w:t>桓仁镇</w:t>
            </w:r>
            <w:r>
              <w:rPr>
                <w:sz w:val="19"/>
              </w:rPr>
              <w:t>全境</w:t>
            </w:r>
          </w:p>
        </w:tc>
        <w:tc>
          <w:tcPr>
            <w:tcW w:w="1419" w:type="pct"/>
            <w:shd w:val="clear" w:color="auto" w:fill="auto"/>
            <w:noWrap/>
            <w:vAlign w:val="center"/>
          </w:tcPr>
          <w:p>
            <w:pPr>
              <w:spacing w:line="240" w:lineRule="auto"/>
              <w:jc w:val="center"/>
              <w:rPr>
                <w:rFonts w:hint="eastAsia"/>
                <w:sz w:val="19"/>
              </w:rPr>
            </w:pPr>
            <w:r>
              <w:rPr>
                <w:rFonts w:hint="eastAsia"/>
                <w:sz w:val="19"/>
              </w:rPr>
              <w:t>农业</w:t>
            </w:r>
            <w:r>
              <w:rPr>
                <w:sz w:val="19"/>
              </w:rPr>
              <w:t>为主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873" w:type="pct"/>
            <w:vMerge w:val="continue"/>
            <w:shd w:val="clear" w:color="auto" w:fill="auto"/>
            <w:vAlign w:val="center"/>
          </w:tcPr>
          <w:p>
            <w:pPr>
              <w:spacing w:line="240" w:lineRule="auto"/>
              <w:jc w:val="center"/>
              <w:rPr>
                <w:rFonts w:hint="eastAsia"/>
                <w:sz w:val="19"/>
              </w:rPr>
            </w:pPr>
          </w:p>
        </w:tc>
        <w:tc>
          <w:tcPr>
            <w:tcW w:w="929" w:type="pct"/>
            <w:shd w:val="clear" w:color="auto" w:fill="auto"/>
            <w:noWrap/>
            <w:vAlign w:val="center"/>
          </w:tcPr>
          <w:p>
            <w:pPr>
              <w:spacing w:line="240" w:lineRule="auto"/>
              <w:jc w:val="center"/>
              <w:rPr>
                <w:rFonts w:hint="eastAsia"/>
                <w:sz w:val="19"/>
              </w:rPr>
            </w:pPr>
            <w:r>
              <w:rPr>
                <w:rFonts w:hint="eastAsia"/>
                <w:sz w:val="19"/>
              </w:rPr>
              <w:t>普乐堡镇</w:t>
            </w:r>
            <w:r>
              <w:rPr>
                <w:sz w:val="19"/>
              </w:rPr>
              <w:t>块区</w:t>
            </w:r>
          </w:p>
        </w:tc>
        <w:tc>
          <w:tcPr>
            <w:tcW w:w="1779" w:type="pct"/>
            <w:shd w:val="clear" w:color="auto" w:fill="auto"/>
            <w:noWrap/>
            <w:vAlign w:val="center"/>
          </w:tcPr>
          <w:p>
            <w:pPr>
              <w:spacing w:line="240" w:lineRule="auto"/>
              <w:jc w:val="center"/>
              <w:rPr>
                <w:rFonts w:hint="eastAsia"/>
                <w:sz w:val="19"/>
              </w:rPr>
            </w:pPr>
            <w:r>
              <w:rPr>
                <w:rFonts w:hint="eastAsia"/>
                <w:sz w:val="19"/>
              </w:rPr>
              <w:t>普乐堡镇</w:t>
            </w:r>
            <w:r>
              <w:rPr>
                <w:sz w:val="19"/>
              </w:rPr>
              <w:t>全境</w:t>
            </w:r>
          </w:p>
        </w:tc>
        <w:tc>
          <w:tcPr>
            <w:tcW w:w="1419" w:type="pct"/>
            <w:shd w:val="clear" w:color="auto" w:fill="auto"/>
            <w:noWrap/>
          </w:tcPr>
          <w:p>
            <w:pPr>
              <w:spacing w:line="240" w:lineRule="auto"/>
              <w:jc w:val="center"/>
              <w:rPr>
                <w:rFonts w:hint="eastAsia"/>
                <w:sz w:val="19"/>
              </w:rPr>
            </w:pPr>
            <w:r>
              <w:rPr>
                <w:rFonts w:hint="eastAsia"/>
                <w:sz w:val="19"/>
              </w:rPr>
              <w:t>农业</w:t>
            </w:r>
            <w:r>
              <w:rPr>
                <w:sz w:val="19"/>
              </w:rPr>
              <w:t>为主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873" w:type="pct"/>
            <w:vMerge w:val="continue"/>
            <w:shd w:val="clear" w:color="auto" w:fill="auto"/>
            <w:vAlign w:val="center"/>
          </w:tcPr>
          <w:p>
            <w:pPr>
              <w:spacing w:line="240" w:lineRule="auto"/>
              <w:jc w:val="center"/>
              <w:rPr>
                <w:rFonts w:hint="eastAsia"/>
                <w:sz w:val="19"/>
              </w:rPr>
            </w:pPr>
          </w:p>
        </w:tc>
        <w:tc>
          <w:tcPr>
            <w:tcW w:w="929" w:type="pct"/>
            <w:shd w:val="clear" w:color="auto" w:fill="auto"/>
            <w:noWrap/>
            <w:vAlign w:val="center"/>
          </w:tcPr>
          <w:p>
            <w:pPr>
              <w:spacing w:line="240" w:lineRule="auto"/>
              <w:jc w:val="center"/>
              <w:rPr>
                <w:rFonts w:hint="eastAsia"/>
                <w:sz w:val="19"/>
              </w:rPr>
            </w:pPr>
            <w:r>
              <w:rPr>
                <w:rFonts w:hint="eastAsia"/>
                <w:sz w:val="19"/>
              </w:rPr>
              <w:t>二棚甸子镇</w:t>
            </w:r>
            <w:r>
              <w:rPr>
                <w:sz w:val="19"/>
              </w:rPr>
              <w:t>块区</w:t>
            </w:r>
          </w:p>
        </w:tc>
        <w:tc>
          <w:tcPr>
            <w:tcW w:w="1779" w:type="pct"/>
            <w:shd w:val="clear" w:color="auto" w:fill="auto"/>
            <w:noWrap/>
            <w:vAlign w:val="center"/>
          </w:tcPr>
          <w:p>
            <w:pPr>
              <w:spacing w:line="240" w:lineRule="auto"/>
              <w:jc w:val="center"/>
              <w:rPr>
                <w:rFonts w:hint="eastAsia"/>
                <w:sz w:val="19"/>
              </w:rPr>
            </w:pPr>
            <w:r>
              <w:rPr>
                <w:rFonts w:hint="eastAsia"/>
                <w:sz w:val="19"/>
              </w:rPr>
              <w:t>二棚甸子镇</w:t>
            </w:r>
            <w:r>
              <w:rPr>
                <w:sz w:val="19"/>
              </w:rPr>
              <w:t>全境</w:t>
            </w:r>
          </w:p>
        </w:tc>
        <w:tc>
          <w:tcPr>
            <w:tcW w:w="1419" w:type="pct"/>
            <w:shd w:val="clear" w:color="auto" w:fill="auto"/>
            <w:noWrap/>
          </w:tcPr>
          <w:p>
            <w:pPr>
              <w:spacing w:line="240" w:lineRule="auto"/>
              <w:jc w:val="center"/>
              <w:rPr>
                <w:rFonts w:hint="eastAsia"/>
                <w:sz w:val="19"/>
              </w:rPr>
            </w:pPr>
            <w:r>
              <w:rPr>
                <w:rFonts w:hint="eastAsia"/>
                <w:sz w:val="19"/>
              </w:rPr>
              <w:t>农业</w:t>
            </w:r>
            <w:r>
              <w:rPr>
                <w:sz w:val="19"/>
              </w:rPr>
              <w:t>为主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873" w:type="pct"/>
            <w:vMerge w:val="continue"/>
            <w:shd w:val="clear" w:color="auto" w:fill="auto"/>
            <w:vAlign w:val="center"/>
          </w:tcPr>
          <w:p>
            <w:pPr>
              <w:spacing w:line="240" w:lineRule="auto"/>
              <w:jc w:val="center"/>
              <w:rPr>
                <w:rFonts w:hint="eastAsia"/>
                <w:sz w:val="19"/>
              </w:rPr>
            </w:pPr>
          </w:p>
        </w:tc>
        <w:tc>
          <w:tcPr>
            <w:tcW w:w="929" w:type="pct"/>
            <w:shd w:val="clear" w:color="auto" w:fill="auto"/>
            <w:noWrap/>
            <w:vAlign w:val="center"/>
          </w:tcPr>
          <w:p>
            <w:pPr>
              <w:spacing w:line="240" w:lineRule="auto"/>
              <w:jc w:val="center"/>
              <w:rPr>
                <w:rFonts w:hint="eastAsia"/>
                <w:sz w:val="19"/>
              </w:rPr>
            </w:pPr>
            <w:r>
              <w:rPr>
                <w:rFonts w:hint="eastAsia"/>
                <w:sz w:val="19"/>
              </w:rPr>
              <w:t>沙尖子镇</w:t>
            </w:r>
            <w:r>
              <w:rPr>
                <w:sz w:val="19"/>
              </w:rPr>
              <w:t>块区</w:t>
            </w:r>
          </w:p>
        </w:tc>
        <w:tc>
          <w:tcPr>
            <w:tcW w:w="1779" w:type="pct"/>
            <w:shd w:val="clear" w:color="auto" w:fill="auto"/>
            <w:noWrap/>
            <w:vAlign w:val="center"/>
          </w:tcPr>
          <w:p>
            <w:pPr>
              <w:spacing w:line="240" w:lineRule="auto"/>
              <w:jc w:val="center"/>
              <w:rPr>
                <w:rFonts w:hint="eastAsia"/>
                <w:sz w:val="19"/>
              </w:rPr>
            </w:pPr>
            <w:r>
              <w:rPr>
                <w:rFonts w:hint="eastAsia"/>
                <w:sz w:val="19"/>
              </w:rPr>
              <w:t>沙尖子镇</w:t>
            </w:r>
            <w:r>
              <w:rPr>
                <w:sz w:val="19"/>
              </w:rPr>
              <w:t>全境</w:t>
            </w:r>
          </w:p>
        </w:tc>
        <w:tc>
          <w:tcPr>
            <w:tcW w:w="1419" w:type="pct"/>
            <w:shd w:val="clear" w:color="auto" w:fill="auto"/>
            <w:noWrap/>
          </w:tcPr>
          <w:p>
            <w:pPr>
              <w:spacing w:line="240" w:lineRule="auto"/>
              <w:jc w:val="center"/>
              <w:rPr>
                <w:rFonts w:hint="eastAsia"/>
                <w:sz w:val="19"/>
              </w:rPr>
            </w:pPr>
            <w:r>
              <w:rPr>
                <w:rFonts w:hint="eastAsia"/>
                <w:sz w:val="19"/>
              </w:rPr>
              <w:t>农业</w:t>
            </w:r>
            <w:r>
              <w:rPr>
                <w:sz w:val="19"/>
              </w:rPr>
              <w:t>为主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873" w:type="pct"/>
            <w:vMerge w:val="continue"/>
            <w:shd w:val="clear" w:color="auto" w:fill="auto"/>
            <w:vAlign w:val="center"/>
          </w:tcPr>
          <w:p>
            <w:pPr>
              <w:spacing w:line="240" w:lineRule="auto"/>
              <w:jc w:val="center"/>
              <w:rPr>
                <w:rFonts w:hint="eastAsia"/>
                <w:sz w:val="19"/>
              </w:rPr>
            </w:pPr>
          </w:p>
        </w:tc>
        <w:tc>
          <w:tcPr>
            <w:tcW w:w="929" w:type="pct"/>
            <w:shd w:val="clear" w:color="auto" w:fill="auto"/>
            <w:noWrap/>
            <w:vAlign w:val="center"/>
          </w:tcPr>
          <w:p>
            <w:pPr>
              <w:spacing w:line="240" w:lineRule="auto"/>
              <w:jc w:val="center"/>
              <w:rPr>
                <w:rFonts w:hint="eastAsia"/>
                <w:sz w:val="19"/>
              </w:rPr>
            </w:pPr>
            <w:r>
              <w:rPr>
                <w:rFonts w:hint="eastAsia"/>
                <w:sz w:val="19"/>
              </w:rPr>
              <w:t>五里甸子镇</w:t>
            </w:r>
            <w:r>
              <w:rPr>
                <w:sz w:val="19"/>
              </w:rPr>
              <w:t>块区</w:t>
            </w:r>
          </w:p>
        </w:tc>
        <w:tc>
          <w:tcPr>
            <w:tcW w:w="1779" w:type="pct"/>
            <w:shd w:val="clear" w:color="auto" w:fill="auto"/>
            <w:noWrap/>
            <w:vAlign w:val="center"/>
          </w:tcPr>
          <w:p>
            <w:pPr>
              <w:spacing w:line="240" w:lineRule="auto"/>
              <w:jc w:val="center"/>
              <w:rPr>
                <w:rFonts w:hint="eastAsia"/>
                <w:sz w:val="19"/>
              </w:rPr>
            </w:pPr>
            <w:r>
              <w:rPr>
                <w:rFonts w:hint="eastAsia"/>
                <w:sz w:val="19"/>
              </w:rPr>
              <w:t>五里甸子镇</w:t>
            </w:r>
            <w:r>
              <w:rPr>
                <w:sz w:val="19"/>
              </w:rPr>
              <w:t>全境</w:t>
            </w:r>
          </w:p>
        </w:tc>
        <w:tc>
          <w:tcPr>
            <w:tcW w:w="1419" w:type="pct"/>
            <w:shd w:val="clear" w:color="auto" w:fill="auto"/>
            <w:noWrap/>
          </w:tcPr>
          <w:p>
            <w:pPr>
              <w:spacing w:line="240" w:lineRule="auto"/>
              <w:jc w:val="center"/>
              <w:rPr>
                <w:rFonts w:hint="eastAsia"/>
                <w:sz w:val="19"/>
              </w:rPr>
            </w:pPr>
            <w:r>
              <w:rPr>
                <w:rFonts w:hint="eastAsia"/>
                <w:sz w:val="19"/>
              </w:rPr>
              <w:t>农业</w:t>
            </w:r>
            <w:r>
              <w:rPr>
                <w:sz w:val="19"/>
              </w:rPr>
              <w:t>为主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873" w:type="pct"/>
            <w:vMerge w:val="continue"/>
            <w:shd w:val="clear" w:color="auto" w:fill="auto"/>
            <w:vAlign w:val="center"/>
          </w:tcPr>
          <w:p>
            <w:pPr>
              <w:spacing w:line="240" w:lineRule="auto"/>
              <w:jc w:val="center"/>
              <w:rPr>
                <w:rFonts w:hint="eastAsia"/>
                <w:sz w:val="19"/>
              </w:rPr>
            </w:pPr>
          </w:p>
        </w:tc>
        <w:tc>
          <w:tcPr>
            <w:tcW w:w="929" w:type="pct"/>
            <w:shd w:val="clear" w:color="auto" w:fill="auto"/>
            <w:noWrap/>
            <w:vAlign w:val="center"/>
          </w:tcPr>
          <w:p>
            <w:pPr>
              <w:spacing w:line="240" w:lineRule="auto"/>
              <w:jc w:val="center"/>
              <w:rPr>
                <w:rFonts w:hint="eastAsia"/>
                <w:sz w:val="19"/>
              </w:rPr>
            </w:pPr>
            <w:r>
              <w:rPr>
                <w:rFonts w:hint="eastAsia"/>
                <w:sz w:val="19"/>
              </w:rPr>
              <w:t>八里甸子镇</w:t>
            </w:r>
            <w:r>
              <w:rPr>
                <w:sz w:val="19"/>
              </w:rPr>
              <w:t>块区</w:t>
            </w:r>
          </w:p>
        </w:tc>
        <w:tc>
          <w:tcPr>
            <w:tcW w:w="1779" w:type="pct"/>
            <w:shd w:val="clear" w:color="auto" w:fill="auto"/>
            <w:noWrap/>
            <w:vAlign w:val="center"/>
          </w:tcPr>
          <w:p>
            <w:pPr>
              <w:spacing w:line="240" w:lineRule="auto"/>
              <w:jc w:val="center"/>
              <w:rPr>
                <w:rFonts w:hint="eastAsia"/>
                <w:sz w:val="19"/>
              </w:rPr>
            </w:pPr>
            <w:r>
              <w:rPr>
                <w:rFonts w:hint="eastAsia"/>
                <w:sz w:val="19"/>
              </w:rPr>
              <w:t>八里甸子镇</w:t>
            </w:r>
            <w:r>
              <w:rPr>
                <w:sz w:val="19"/>
              </w:rPr>
              <w:t>全境</w:t>
            </w:r>
          </w:p>
        </w:tc>
        <w:tc>
          <w:tcPr>
            <w:tcW w:w="1419" w:type="pct"/>
            <w:shd w:val="clear" w:color="auto" w:fill="auto"/>
            <w:noWrap/>
          </w:tcPr>
          <w:p>
            <w:pPr>
              <w:spacing w:line="240" w:lineRule="auto"/>
              <w:jc w:val="center"/>
              <w:rPr>
                <w:rFonts w:hint="eastAsia"/>
                <w:sz w:val="19"/>
              </w:rPr>
            </w:pPr>
            <w:r>
              <w:rPr>
                <w:rFonts w:hint="eastAsia"/>
                <w:sz w:val="19"/>
              </w:rPr>
              <w:t>农业</w:t>
            </w:r>
            <w:r>
              <w:rPr>
                <w:sz w:val="19"/>
              </w:rPr>
              <w:t>为主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873" w:type="pct"/>
            <w:vMerge w:val="continue"/>
            <w:shd w:val="clear" w:color="auto" w:fill="auto"/>
            <w:vAlign w:val="center"/>
          </w:tcPr>
          <w:p>
            <w:pPr>
              <w:spacing w:line="240" w:lineRule="auto"/>
              <w:jc w:val="center"/>
              <w:rPr>
                <w:rFonts w:hint="eastAsia"/>
                <w:sz w:val="19"/>
              </w:rPr>
            </w:pPr>
          </w:p>
        </w:tc>
        <w:tc>
          <w:tcPr>
            <w:tcW w:w="929" w:type="pct"/>
            <w:shd w:val="clear" w:color="auto" w:fill="auto"/>
            <w:noWrap/>
            <w:vAlign w:val="center"/>
          </w:tcPr>
          <w:p>
            <w:pPr>
              <w:spacing w:line="240" w:lineRule="auto"/>
              <w:jc w:val="center"/>
              <w:rPr>
                <w:rFonts w:hint="eastAsia"/>
                <w:sz w:val="19"/>
              </w:rPr>
            </w:pPr>
            <w:r>
              <w:rPr>
                <w:rFonts w:hint="eastAsia"/>
                <w:sz w:val="19"/>
              </w:rPr>
              <w:t>华来镇</w:t>
            </w:r>
            <w:r>
              <w:rPr>
                <w:sz w:val="19"/>
              </w:rPr>
              <w:t>块区</w:t>
            </w:r>
          </w:p>
        </w:tc>
        <w:tc>
          <w:tcPr>
            <w:tcW w:w="1779" w:type="pct"/>
            <w:shd w:val="clear" w:color="auto" w:fill="auto"/>
            <w:noWrap/>
            <w:vAlign w:val="center"/>
          </w:tcPr>
          <w:p>
            <w:pPr>
              <w:spacing w:line="240" w:lineRule="auto"/>
              <w:jc w:val="center"/>
              <w:rPr>
                <w:rFonts w:hint="eastAsia"/>
                <w:sz w:val="19"/>
              </w:rPr>
            </w:pPr>
            <w:r>
              <w:rPr>
                <w:rFonts w:hint="eastAsia"/>
                <w:sz w:val="19"/>
              </w:rPr>
              <w:t>华来镇</w:t>
            </w:r>
            <w:r>
              <w:rPr>
                <w:sz w:val="19"/>
              </w:rPr>
              <w:t>全境</w:t>
            </w:r>
          </w:p>
        </w:tc>
        <w:tc>
          <w:tcPr>
            <w:tcW w:w="1419" w:type="pct"/>
            <w:shd w:val="clear" w:color="auto" w:fill="auto"/>
            <w:noWrap/>
          </w:tcPr>
          <w:p>
            <w:pPr>
              <w:spacing w:line="240" w:lineRule="auto"/>
              <w:jc w:val="center"/>
              <w:rPr>
                <w:rFonts w:hint="eastAsia"/>
                <w:sz w:val="19"/>
              </w:rPr>
            </w:pPr>
            <w:r>
              <w:rPr>
                <w:rFonts w:hint="eastAsia"/>
                <w:sz w:val="19"/>
              </w:rPr>
              <w:t>农业</w:t>
            </w:r>
            <w:r>
              <w:rPr>
                <w:sz w:val="19"/>
              </w:rPr>
              <w:t>为主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873" w:type="pct"/>
            <w:vMerge w:val="continue"/>
            <w:shd w:val="clear" w:color="auto" w:fill="auto"/>
            <w:vAlign w:val="center"/>
          </w:tcPr>
          <w:p>
            <w:pPr>
              <w:spacing w:line="240" w:lineRule="auto"/>
              <w:jc w:val="center"/>
              <w:rPr>
                <w:rFonts w:hint="eastAsia"/>
                <w:sz w:val="19"/>
              </w:rPr>
            </w:pPr>
          </w:p>
        </w:tc>
        <w:tc>
          <w:tcPr>
            <w:tcW w:w="929" w:type="pct"/>
            <w:shd w:val="clear" w:color="auto" w:fill="auto"/>
            <w:noWrap/>
            <w:vAlign w:val="center"/>
          </w:tcPr>
          <w:p>
            <w:pPr>
              <w:spacing w:line="240" w:lineRule="auto"/>
              <w:jc w:val="center"/>
              <w:rPr>
                <w:rFonts w:hint="eastAsia"/>
                <w:sz w:val="19"/>
              </w:rPr>
            </w:pPr>
            <w:r>
              <w:rPr>
                <w:rFonts w:hint="eastAsia"/>
                <w:sz w:val="19"/>
              </w:rPr>
              <w:t>古城镇</w:t>
            </w:r>
            <w:r>
              <w:rPr>
                <w:sz w:val="19"/>
              </w:rPr>
              <w:t>块区</w:t>
            </w:r>
          </w:p>
        </w:tc>
        <w:tc>
          <w:tcPr>
            <w:tcW w:w="1779" w:type="pct"/>
            <w:shd w:val="clear" w:color="auto" w:fill="auto"/>
            <w:noWrap/>
            <w:vAlign w:val="center"/>
          </w:tcPr>
          <w:p>
            <w:pPr>
              <w:spacing w:line="240" w:lineRule="auto"/>
              <w:jc w:val="center"/>
              <w:rPr>
                <w:rFonts w:hint="eastAsia"/>
                <w:sz w:val="19"/>
              </w:rPr>
            </w:pPr>
            <w:r>
              <w:rPr>
                <w:rFonts w:hint="eastAsia"/>
                <w:sz w:val="19"/>
              </w:rPr>
              <w:t>古城镇</w:t>
            </w:r>
            <w:r>
              <w:rPr>
                <w:sz w:val="19"/>
              </w:rPr>
              <w:t>全境</w:t>
            </w:r>
          </w:p>
        </w:tc>
        <w:tc>
          <w:tcPr>
            <w:tcW w:w="1419" w:type="pct"/>
            <w:shd w:val="clear" w:color="auto" w:fill="auto"/>
            <w:noWrap/>
          </w:tcPr>
          <w:p>
            <w:pPr>
              <w:spacing w:line="240" w:lineRule="auto"/>
              <w:jc w:val="center"/>
              <w:rPr>
                <w:rFonts w:hint="eastAsia"/>
                <w:sz w:val="19"/>
              </w:rPr>
            </w:pPr>
            <w:r>
              <w:rPr>
                <w:rFonts w:hint="eastAsia"/>
                <w:sz w:val="19"/>
              </w:rPr>
              <w:t>农业</w:t>
            </w:r>
            <w:r>
              <w:rPr>
                <w:sz w:val="19"/>
              </w:rPr>
              <w:t>为主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873" w:type="pct"/>
            <w:vMerge w:val="continue"/>
            <w:shd w:val="clear" w:color="auto" w:fill="auto"/>
            <w:vAlign w:val="center"/>
          </w:tcPr>
          <w:p>
            <w:pPr>
              <w:spacing w:line="240" w:lineRule="auto"/>
              <w:jc w:val="center"/>
              <w:rPr>
                <w:rFonts w:hint="eastAsia"/>
                <w:sz w:val="19"/>
              </w:rPr>
            </w:pPr>
          </w:p>
        </w:tc>
        <w:tc>
          <w:tcPr>
            <w:tcW w:w="929" w:type="pct"/>
            <w:shd w:val="clear" w:color="auto" w:fill="auto"/>
            <w:noWrap/>
            <w:vAlign w:val="center"/>
          </w:tcPr>
          <w:p>
            <w:pPr>
              <w:spacing w:line="240" w:lineRule="auto"/>
              <w:jc w:val="center"/>
              <w:rPr>
                <w:rFonts w:hint="eastAsia"/>
                <w:sz w:val="19"/>
              </w:rPr>
            </w:pPr>
            <w:r>
              <w:rPr>
                <w:rFonts w:hint="eastAsia"/>
                <w:sz w:val="19"/>
              </w:rPr>
              <w:t>雅河朝鲜族乡</w:t>
            </w:r>
            <w:r>
              <w:rPr>
                <w:sz w:val="19"/>
              </w:rPr>
              <w:t>块区</w:t>
            </w:r>
          </w:p>
        </w:tc>
        <w:tc>
          <w:tcPr>
            <w:tcW w:w="1779" w:type="pct"/>
            <w:shd w:val="clear" w:color="auto" w:fill="auto"/>
            <w:noWrap/>
            <w:vAlign w:val="center"/>
          </w:tcPr>
          <w:p>
            <w:pPr>
              <w:spacing w:line="240" w:lineRule="auto"/>
              <w:jc w:val="center"/>
              <w:rPr>
                <w:rFonts w:hint="eastAsia"/>
                <w:sz w:val="19"/>
              </w:rPr>
            </w:pPr>
            <w:r>
              <w:rPr>
                <w:rFonts w:hint="eastAsia"/>
                <w:sz w:val="19"/>
              </w:rPr>
              <w:t>雅河朝鲜族乡</w:t>
            </w:r>
            <w:r>
              <w:rPr>
                <w:sz w:val="19"/>
              </w:rPr>
              <w:t>全境</w:t>
            </w:r>
          </w:p>
        </w:tc>
        <w:tc>
          <w:tcPr>
            <w:tcW w:w="1419" w:type="pct"/>
            <w:shd w:val="clear" w:color="auto" w:fill="auto"/>
            <w:noWrap/>
          </w:tcPr>
          <w:p>
            <w:pPr>
              <w:spacing w:line="240" w:lineRule="auto"/>
              <w:jc w:val="center"/>
              <w:rPr>
                <w:rFonts w:hint="eastAsia"/>
                <w:sz w:val="19"/>
              </w:rPr>
            </w:pPr>
            <w:r>
              <w:rPr>
                <w:rFonts w:hint="eastAsia"/>
                <w:sz w:val="19"/>
              </w:rPr>
              <w:t>农业</w:t>
            </w:r>
            <w:r>
              <w:rPr>
                <w:sz w:val="19"/>
              </w:rPr>
              <w:t>为主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873" w:type="pct"/>
            <w:vMerge w:val="continue"/>
            <w:shd w:val="clear" w:color="auto" w:fill="auto"/>
            <w:vAlign w:val="center"/>
          </w:tcPr>
          <w:p>
            <w:pPr>
              <w:spacing w:line="240" w:lineRule="auto"/>
              <w:jc w:val="center"/>
              <w:rPr>
                <w:rFonts w:hint="eastAsia"/>
                <w:sz w:val="19"/>
              </w:rPr>
            </w:pPr>
          </w:p>
        </w:tc>
        <w:tc>
          <w:tcPr>
            <w:tcW w:w="929" w:type="pct"/>
            <w:shd w:val="clear" w:color="auto" w:fill="auto"/>
            <w:noWrap/>
            <w:vAlign w:val="center"/>
          </w:tcPr>
          <w:p>
            <w:pPr>
              <w:spacing w:line="240" w:lineRule="auto"/>
              <w:jc w:val="center"/>
              <w:rPr>
                <w:rFonts w:hint="eastAsia"/>
                <w:sz w:val="19"/>
              </w:rPr>
            </w:pPr>
            <w:r>
              <w:rPr>
                <w:rFonts w:hint="eastAsia"/>
                <w:sz w:val="19"/>
              </w:rPr>
              <w:t>向阳乡</w:t>
            </w:r>
            <w:r>
              <w:rPr>
                <w:sz w:val="19"/>
              </w:rPr>
              <w:t>块区</w:t>
            </w:r>
          </w:p>
        </w:tc>
        <w:tc>
          <w:tcPr>
            <w:tcW w:w="1779" w:type="pct"/>
            <w:shd w:val="clear" w:color="auto" w:fill="auto"/>
            <w:noWrap/>
            <w:vAlign w:val="center"/>
          </w:tcPr>
          <w:p>
            <w:pPr>
              <w:spacing w:line="240" w:lineRule="auto"/>
              <w:jc w:val="center"/>
              <w:rPr>
                <w:rFonts w:hint="eastAsia"/>
                <w:sz w:val="19"/>
              </w:rPr>
            </w:pPr>
            <w:r>
              <w:rPr>
                <w:rFonts w:hint="eastAsia"/>
                <w:sz w:val="19"/>
              </w:rPr>
              <w:t>向阳乡</w:t>
            </w:r>
            <w:r>
              <w:rPr>
                <w:sz w:val="19"/>
              </w:rPr>
              <w:t>全境</w:t>
            </w:r>
          </w:p>
        </w:tc>
        <w:tc>
          <w:tcPr>
            <w:tcW w:w="1419" w:type="pct"/>
            <w:shd w:val="clear" w:color="auto" w:fill="auto"/>
            <w:noWrap/>
          </w:tcPr>
          <w:p>
            <w:pPr>
              <w:spacing w:line="240" w:lineRule="auto"/>
              <w:jc w:val="center"/>
              <w:rPr>
                <w:rFonts w:hint="eastAsia"/>
                <w:sz w:val="19"/>
              </w:rPr>
            </w:pPr>
            <w:r>
              <w:rPr>
                <w:rFonts w:hint="eastAsia"/>
                <w:sz w:val="19"/>
              </w:rPr>
              <w:t>农业</w:t>
            </w:r>
            <w:r>
              <w:rPr>
                <w:sz w:val="19"/>
              </w:rPr>
              <w:t>为主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873" w:type="pct"/>
            <w:vMerge w:val="continue"/>
            <w:shd w:val="clear" w:color="auto" w:fill="auto"/>
            <w:vAlign w:val="center"/>
          </w:tcPr>
          <w:p>
            <w:pPr>
              <w:spacing w:line="240" w:lineRule="auto"/>
              <w:jc w:val="center"/>
              <w:rPr>
                <w:rFonts w:hint="eastAsia"/>
                <w:sz w:val="19"/>
              </w:rPr>
            </w:pPr>
          </w:p>
        </w:tc>
        <w:tc>
          <w:tcPr>
            <w:tcW w:w="929" w:type="pct"/>
            <w:shd w:val="clear" w:color="auto" w:fill="auto"/>
            <w:noWrap/>
            <w:vAlign w:val="center"/>
          </w:tcPr>
          <w:p>
            <w:pPr>
              <w:spacing w:line="240" w:lineRule="auto"/>
              <w:jc w:val="center"/>
              <w:rPr>
                <w:rFonts w:hint="eastAsia"/>
                <w:sz w:val="19"/>
              </w:rPr>
            </w:pPr>
            <w:r>
              <w:rPr>
                <w:rFonts w:hint="eastAsia"/>
                <w:sz w:val="19"/>
              </w:rPr>
              <w:t>黑沟乡</w:t>
            </w:r>
            <w:r>
              <w:rPr>
                <w:sz w:val="19"/>
              </w:rPr>
              <w:t>块区</w:t>
            </w:r>
          </w:p>
        </w:tc>
        <w:tc>
          <w:tcPr>
            <w:tcW w:w="1779" w:type="pct"/>
            <w:shd w:val="clear" w:color="auto" w:fill="auto"/>
            <w:noWrap/>
            <w:vAlign w:val="center"/>
          </w:tcPr>
          <w:p>
            <w:pPr>
              <w:spacing w:line="240" w:lineRule="auto"/>
              <w:jc w:val="center"/>
              <w:rPr>
                <w:rFonts w:hint="eastAsia"/>
                <w:sz w:val="19"/>
              </w:rPr>
            </w:pPr>
            <w:r>
              <w:rPr>
                <w:rFonts w:hint="eastAsia"/>
                <w:sz w:val="19"/>
              </w:rPr>
              <w:t>黑沟乡</w:t>
            </w:r>
            <w:r>
              <w:rPr>
                <w:sz w:val="19"/>
              </w:rPr>
              <w:t>全境</w:t>
            </w:r>
          </w:p>
        </w:tc>
        <w:tc>
          <w:tcPr>
            <w:tcW w:w="1419" w:type="pct"/>
            <w:shd w:val="clear" w:color="auto" w:fill="auto"/>
            <w:noWrap/>
          </w:tcPr>
          <w:p>
            <w:pPr>
              <w:spacing w:line="240" w:lineRule="auto"/>
              <w:jc w:val="center"/>
              <w:rPr>
                <w:rFonts w:hint="eastAsia"/>
                <w:sz w:val="19"/>
              </w:rPr>
            </w:pPr>
            <w:r>
              <w:rPr>
                <w:rFonts w:hint="eastAsia"/>
                <w:sz w:val="19"/>
              </w:rPr>
              <w:t>农业</w:t>
            </w:r>
            <w:r>
              <w:rPr>
                <w:sz w:val="19"/>
              </w:rPr>
              <w:t>为主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873" w:type="pct"/>
            <w:vMerge w:val="continue"/>
            <w:shd w:val="clear" w:color="auto" w:fill="auto"/>
            <w:vAlign w:val="center"/>
          </w:tcPr>
          <w:p>
            <w:pPr>
              <w:spacing w:line="240" w:lineRule="auto"/>
              <w:jc w:val="center"/>
              <w:rPr>
                <w:rFonts w:hint="eastAsia"/>
                <w:sz w:val="19"/>
              </w:rPr>
            </w:pPr>
          </w:p>
        </w:tc>
        <w:tc>
          <w:tcPr>
            <w:tcW w:w="929" w:type="pct"/>
            <w:shd w:val="clear" w:color="auto" w:fill="auto"/>
            <w:noWrap/>
            <w:vAlign w:val="center"/>
          </w:tcPr>
          <w:p>
            <w:pPr>
              <w:spacing w:line="240" w:lineRule="auto"/>
              <w:jc w:val="center"/>
              <w:rPr>
                <w:rFonts w:hint="eastAsia"/>
                <w:sz w:val="19"/>
              </w:rPr>
            </w:pPr>
            <w:r>
              <w:rPr>
                <w:rFonts w:hint="eastAsia"/>
                <w:sz w:val="19"/>
              </w:rPr>
              <w:t>北甸子乡块区</w:t>
            </w:r>
          </w:p>
        </w:tc>
        <w:tc>
          <w:tcPr>
            <w:tcW w:w="1779" w:type="pct"/>
            <w:shd w:val="clear" w:color="auto" w:fill="auto"/>
            <w:noWrap/>
            <w:vAlign w:val="center"/>
          </w:tcPr>
          <w:p>
            <w:pPr>
              <w:spacing w:line="240" w:lineRule="auto"/>
              <w:jc w:val="center"/>
              <w:rPr>
                <w:rFonts w:hint="eastAsia"/>
                <w:sz w:val="19"/>
              </w:rPr>
            </w:pPr>
            <w:r>
              <w:rPr>
                <w:rFonts w:hint="eastAsia"/>
                <w:sz w:val="19"/>
              </w:rPr>
              <w:t>北甸子区</w:t>
            </w:r>
            <w:r>
              <w:rPr>
                <w:sz w:val="19"/>
              </w:rPr>
              <w:t>全境</w:t>
            </w:r>
          </w:p>
        </w:tc>
        <w:tc>
          <w:tcPr>
            <w:tcW w:w="1419" w:type="pct"/>
            <w:shd w:val="clear" w:color="auto" w:fill="auto"/>
            <w:noWrap/>
          </w:tcPr>
          <w:p>
            <w:pPr>
              <w:spacing w:line="240" w:lineRule="auto"/>
              <w:jc w:val="center"/>
              <w:rPr>
                <w:rFonts w:hint="eastAsia"/>
                <w:sz w:val="19"/>
              </w:rPr>
            </w:pPr>
            <w:r>
              <w:rPr>
                <w:rFonts w:hint="eastAsia"/>
                <w:sz w:val="19"/>
              </w:rPr>
              <w:t>农业</w:t>
            </w:r>
            <w:r>
              <w:rPr>
                <w:sz w:val="19"/>
              </w:rPr>
              <w:t>为主</w:t>
            </w:r>
          </w:p>
        </w:tc>
      </w:tr>
    </w:tbl>
    <w:p>
      <w:pP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br w:type="page"/>
      </w:r>
    </w:p>
    <w:p>
      <w:pPr>
        <w:pStyle w:val="2"/>
        <w:rPr>
          <w:b w:val="0"/>
        </w:rPr>
      </w:pPr>
      <w:bookmarkStart w:id="55" w:name="_Toc94186583"/>
      <w:bookmarkStart w:id="56" w:name="_Toc3531"/>
      <w:r>
        <w:rPr>
          <w:b w:val="0"/>
        </w:rPr>
        <w:t>需求预测</w:t>
      </w:r>
      <w:bookmarkEnd w:id="55"/>
      <w:bookmarkEnd w:id="56"/>
    </w:p>
    <w:p>
      <w:pPr>
        <w:pStyle w:val="3"/>
      </w:pPr>
      <w:bookmarkStart w:id="57" w:name="_Toc23674"/>
      <w:bookmarkStart w:id="58" w:name="_Toc94186584"/>
      <w:r>
        <w:rPr>
          <w:color w:val="000000" w:themeColor="text1"/>
          <w14:textFill>
            <w14:solidFill>
              <w14:schemeClr w14:val="tx1"/>
            </w14:solidFill>
          </w14:textFill>
        </w:rPr>
        <w:t>预测思路</w:t>
      </w:r>
      <w:bookmarkEnd w:id="57"/>
      <w:bookmarkEnd w:id="58"/>
    </w:p>
    <w:p>
      <w:pPr>
        <w:pStyle w:val="6"/>
        <w:numPr>
          <w:ilvl w:val="4"/>
          <w:numId w:val="3"/>
        </w:numPr>
        <w:ind w:left="0" w:firstLine="560" w:firstLineChars="200"/>
        <w:rPr>
          <w:rFonts w:hint="eastAsia"/>
        </w:rPr>
      </w:pPr>
      <w:r>
        <w:t>总体思路</w:t>
      </w:r>
    </w:p>
    <w:p>
      <w:pPr>
        <w:pStyle w:val="47"/>
        <w:numPr>
          <w:ilvl w:val="0"/>
          <w:numId w:val="4"/>
        </w:numPr>
        <w:spacing w:line="360" w:lineRule="auto"/>
        <w:ind w:left="0" w:firstLine="560"/>
        <w:rPr>
          <w:rFonts w:hint="eastAsia" w:cs="仿宋_GB2312"/>
          <w:szCs w:val="22"/>
        </w:rPr>
      </w:pPr>
      <w:r>
        <w:rPr>
          <w:rFonts w:hint="eastAsia" w:cs="仿宋_GB2312"/>
          <w:szCs w:val="22"/>
        </w:rPr>
        <w:t>参考2020年11月2日印发的《新能源汽车产业发展规划（2021-2035年）》以及桓仁满族自治县自身的发展情况，预测电动汽车占桓仁满族自治县总汽车量的比例数量；</w:t>
      </w:r>
    </w:p>
    <w:p>
      <w:pPr>
        <w:pStyle w:val="47"/>
        <w:numPr>
          <w:ilvl w:val="0"/>
          <w:numId w:val="4"/>
        </w:numPr>
        <w:spacing w:line="360" w:lineRule="auto"/>
        <w:ind w:left="0" w:firstLine="560"/>
        <w:rPr>
          <w:rFonts w:hint="eastAsia" w:cs="仿宋_GB2312"/>
          <w:szCs w:val="22"/>
        </w:rPr>
      </w:pPr>
      <w:r>
        <w:rPr>
          <w:rFonts w:hint="eastAsia" w:cs="仿宋_GB2312"/>
          <w:szCs w:val="22"/>
        </w:rPr>
        <w:t>研究电动汽车的出行特征、规模、充电模式、动力电池充电特性。分析各类电动汽车的充电时对充电设施的不同影响，分析电动汽车对电网负荷变化特征；</w:t>
      </w:r>
    </w:p>
    <w:p>
      <w:pPr>
        <w:pStyle w:val="47"/>
        <w:numPr>
          <w:ilvl w:val="0"/>
          <w:numId w:val="4"/>
        </w:numPr>
        <w:spacing w:line="360" w:lineRule="auto"/>
        <w:ind w:left="0" w:firstLine="560"/>
        <w:rPr>
          <w:rFonts w:hint="eastAsia" w:cs="仿宋_GB2312"/>
          <w:szCs w:val="22"/>
        </w:rPr>
      </w:pPr>
      <w:r>
        <w:rPr>
          <w:rFonts w:hint="eastAsia" w:cs="仿宋_GB2312"/>
          <w:szCs w:val="22"/>
        </w:rPr>
        <w:t>研究充电设施负荷特性研究，主要涉及小区私人充电桩、小区公共充电桩、集中式快速充电站、公共停车场充电站等。</w:t>
      </w:r>
    </w:p>
    <w:p>
      <w:pPr>
        <w:pStyle w:val="47"/>
        <w:numPr>
          <w:ilvl w:val="0"/>
          <w:numId w:val="4"/>
        </w:numPr>
        <w:spacing w:line="360" w:lineRule="auto"/>
        <w:ind w:left="0" w:firstLine="560"/>
        <w:rPr>
          <w:rFonts w:hint="eastAsia" w:cs="仿宋_GB2312"/>
          <w:szCs w:val="22"/>
        </w:rPr>
      </w:pPr>
      <w:r>
        <w:rPr>
          <w:rFonts w:hint="eastAsia" w:cs="仿宋_GB2312"/>
          <w:szCs w:val="22"/>
        </w:rPr>
        <w:t>结合电动汽车对电网负荷的影响与充电设施负荷特性情况，根据预测的电动汽车保有量，进行片区公共充电设施规模需求预测。</w:t>
      </w:r>
    </w:p>
    <w:p>
      <w:pPr>
        <w:pStyle w:val="6"/>
        <w:numPr>
          <w:ilvl w:val="4"/>
          <w:numId w:val="3"/>
        </w:numPr>
        <w:ind w:left="0" w:firstLine="560" w:firstLineChars="200"/>
        <w:rPr>
          <w:rFonts w:hint="eastAsia"/>
        </w:rPr>
      </w:pPr>
      <w:r>
        <w:t>电动汽车保有量预测思路</w:t>
      </w:r>
    </w:p>
    <w:p>
      <w:pPr>
        <w:pStyle w:val="47"/>
        <w:numPr>
          <w:ilvl w:val="0"/>
          <w:numId w:val="5"/>
        </w:numPr>
        <w:spacing w:line="360" w:lineRule="auto"/>
        <w:ind w:left="0" w:firstLine="560"/>
        <w:rPr>
          <w:rFonts w:hint="eastAsia" w:cs="仿宋_GB2312"/>
          <w:szCs w:val="22"/>
        </w:rPr>
      </w:pPr>
      <w:r>
        <w:rPr>
          <w:rFonts w:hint="eastAsia" w:cs="仿宋_GB2312"/>
          <w:szCs w:val="22"/>
        </w:rPr>
        <w:t>参考《国务院办公厅关于加快新能源汽车推广应用的指导意见》（国办发35号）、《新能源汽车产业发展规划（2021～2035年）》（国办发〔2020〕39号）等政策，同时考虑桓仁满族自治县规划城市电动汽车发展、人口与国民经济等情况。预测桓仁满族自治县电动汽车保有量。</w:t>
      </w:r>
    </w:p>
    <w:p>
      <w:pPr>
        <w:pStyle w:val="47"/>
        <w:numPr>
          <w:ilvl w:val="0"/>
          <w:numId w:val="5"/>
        </w:numPr>
        <w:spacing w:line="360" w:lineRule="auto"/>
        <w:ind w:left="0" w:firstLine="560"/>
        <w:rPr>
          <w:rFonts w:hint="eastAsia" w:cs="仿宋_GB2312"/>
          <w:szCs w:val="22"/>
        </w:rPr>
      </w:pPr>
      <w:r>
        <w:rPr>
          <w:rFonts w:hint="eastAsia" w:cs="仿宋_GB2312"/>
          <w:szCs w:val="22"/>
        </w:rPr>
        <w:t>电动汽车保有量结合不同的应用场景分车辆类型进行预测。</w:t>
      </w:r>
    </w:p>
    <w:p>
      <w:pPr>
        <w:pStyle w:val="47"/>
        <w:numPr>
          <w:ilvl w:val="0"/>
          <w:numId w:val="5"/>
        </w:numPr>
        <w:spacing w:line="360" w:lineRule="auto"/>
        <w:ind w:left="0" w:firstLine="560"/>
        <w:rPr>
          <w:rFonts w:hint="eastAsia" w:cs="仿宋_GB2312"/>
          <w:szCs w:val="22"/>
        </w:rPr>
      </w:pPr>
      <w:r>
        <w:rPr>
          <w:rFonts w:hint="eastAsia" w:cs="仿宋_GB2312"/>
          <w:szCs w:val="22"/>
        </w:rPr>
        <w:t>电动汽车保有量预测结合桓仁满族自治县政府电动汽车产业发展规划，以及当地GDP、民生情况、汽车发展情况、政策情况等多种边界条件，采用电动化率法进行预测。</w:t>
      </w:r>
    </w:p>
    <w:p>
      <w:pPr>
        <w:pStyle w:val="6"/>
        <w:numPr>
          <w:ilvl w:val="4"/>
          <w:numId w:val="3"/>
        </w:numPr>
        <w:ind w:left="0" w:firstLine="560" w:firstLineChars="200"/>
        <w:rPr>
          <w:rFonts w:hint="eastAsia"/>
        </w:rPr>
      </w:pPr>
      <w:r>
        <w:rPr>
          <w:rFonts w:hint="eastAsia"/>
        </w:rPr>
        <w:t>公共</w:t>
      </w:r>
      <w:r>
        <w:t>充电设施规模</w:t>
      </w:r>
      <w:r>
        <w:rPr>
          <w:rFonts w:hint="eastAsia"/>
        </w:rPr>
        <w:t>需求</w:t>
      </w:r>
      <w:r>
        <w:t>预测思路</w:t>
      </w:r>
    </w:p>
    <w:p>
      <w:pPr>
        <w:pStyle w:val="47"/>
        <w:numPr>
          <w:ilvl w:val="0"/>
          <w:numId w:val="6"/>
        </w:numPr>
        <w:spacing w:line="360" w:lineRule="auto"/>
        <w:ind w:left="0" w:firstLine="560"/>
        <w:rPr>
          <w:rFonts w:hint="eastAsia" w:cs="仿宋_GB2312"/>
          <w:szCs w:val="22"/>
        </w:rPr>
      </w:pPr>
      <w:r>
        <w:rPr>
          <w:rFonts w:hint="eastAsia" w:cs="仿宋_GB2312"/>
          <w:szCs w:val="22"/>
        </w:rPr>
        <w:t>公共充电设施规模需求预测需考虑电动汽车流动特点，基于桓仁满族自治县电动汽车保有量和外地电动汽车流入量，兼顾城市整体公共充电设施的预测结果。</w:t>
      </w:r>
    </w:p>
    <w:p>
      <w:pPr>
        <w:pStyle w:val="47"/>
        <w:numPr>
          <w:ilvl w:val="0"/>
          <w:numId w:val="6"/>
        </w:numPr>
        <w:spacing w:line="360" w:lineRule="auto"/>
        <w:ind w:left="0" w:firstLine="560"/>
        <w:rPr>
          <w:rFonts w:hint="eastAsia" w:cs="仿宋_GB2312"/>
          <w:szCs w:val="22"/>
        </w:rPr>
      </w:pPr>
      <w:r>
        <w:rPr>
          <w:rFonts w:hint="eastAsia" w:cs="仿宋_GB2312"/>
          <w:szCs w:val="22"/>
        </w:rPr>
        <w:t>公共充电设施规模需求预测应考虑桓仁满族自治县发展定位、电动汽车应用场景和行驶特性等因素。</w:t>
      </w:r>
    </w:p>
    <w:p>
      <w:pPr>
        <w:pStyle w:val="47"/>
        <w:numPr>
          <w:ilvl w:val="0"/>
          <w:numId w:val="6"/>
        </w:numPr>
        <w:spacing w:line="360" w:lineRule="auto"/>
        <w:ind w:left="0" w:firstLine="560"/>
        <w:rPr>
          <w:rFonts w:hint="eastAsia" w:cs="仿宋_GB2312"/>
          <w:szCs w:val="22"/>
        </w:rPr>
      </w:pPr>
      <w:r>
        <w:rPr>
          <w:rFonts w:hint="eastAsia" w:cs="仿宋_GB2312"/>
          <w:szCs w:val="22"/>
        </w:rPr>
        <w:t>公共充电设施规模需求预测应按照统筹规划、适度超前的原则，充分考虑电动汽车未来发展趋势。</w:t>
      </w:r>
    </w:p>
    <w:p>
      <w:pPr>
        <w:pStyle w:val="3"/>
      </w:pPr>
      <w:bookmarkStart w:id="59" w:name="_Toc1097"/>
      <w:r>
        <w:rPr>
          <w:rFonts w:hint="eastAsia"/>
          <w:color w:val="000000" w:themeColor="text1"/>
          <w14:textFill>
            <w14:solidFill>
              <w14:schemeClr w14:val="tx1"/>
            </w14:solidFill>
          </w14:textFill>
        </w:rPr>
        <w:t>保有量预测</w:t>
      </w:r>
      <w:bookmarkEnd w:id="59"/>
    </w:p>
    <w:p>
      <w:pPr>
        <w:pStyle w:val="4"/>
      </w:pPr>
      <w:r>
        <w:rPr>
          <w:rFonts w:hint="eastAsia"/>
        </w:rPr>
        <w:t>汽车保有量预测</w:t>
      </w:r>
    </w:p>
    <w:p>
      <w:pPr>
        <w:spacing w:line="360" w:lineRule="auto"/>
        <w:ind w:firstLine="560" w:firstLineChars="200"/>
        <w:rPr>
          <w:rFonts w:hint="eastAsia" w:cs="仿宋_GB2312"/>
          <w:szCs w:val="22"/>
        </w:rPr>
      </w:pPr>
      <w:r>
        <w:rPr>
          <w:rFonts w:hint="eastAsia" w:cs="仿宋_GB2312"/>
          <w:szCs w:val="22"/>
        </w:rPr>
        <w:t>机动车的预测方法很多，包括时间序列法、相关因素法等，不同方法又包括很多拟合函数。本次研究对各种方法模型均进行了测试比较，最终选取了弹性系数法、时间序列法等方法对汽车保有规模进行预测。</w:t>
      </w:r>
    </w:p>
    <w:p>
      <w:pPr>
        <w:pStyle w:val="6"/>
        <w:numPr>
          <w:ilvl w:val="4"/>
          <w:numId w:val="7"/>
        </w:numPr>
        <w:ind w:left="0" w:firstLine="560" w:firstLineChars="200"/>
        <w:rPr>
          <w:rFonts w:hint="eastAsia"/>
          <w:szCs w:val="24"/>
        </w:rPr>
      </w:pPr>
      <w:r>
        <w:rPr>
          <w:szCs w:val="24"/>
        </w:rPr>
        <w:t>弹性</w:t>
      </w:r>
      <w:r>
        <w:t>系数</w:t>
      </w:r>
      <w:r>
        <w:rPr>
          <w:szCs w:val="24"/>
        </w:rPr>
        <w:t>法</w:t>
      </w:r>
    </w:p>
    <w:p>
      <w:pPr>
        <w:ind w:firstLine="560"/>
        <w:rPr>
          <w:rFonts w:hint="eastAsia" w:cs="仿宋_GB2312"/>
          <w:szCs w:val="22"/>
        </w:rPr>
      </w:pPr>
      <w:r>
        <w:rPr>
          <w:rFonts w:hint="eastAsia" w:cs="仿宋_GB2312"/>
          <w:szCs w:val="22"/>
        </w:rPr>
        <w:t>弹性系数法是在一个因素变化的基础上，对另一个因素的发展变化作出间接预测的方法。即利用现有的GDP数据测算汽车保有量增长率：</w:t>
      </w:r>
    </w:p>
    <w:p>
      <w:pPr>
        <w:spacing w:line="360" w:lineRule="auto"/>
        <w:jc w:val="center"/>
        <w:rPr>
          <w:rFonts w:hint="eastAsia" w:cs="仿宋_GB2312"/>
          <w:szCs w:val="22"/>
        </w:rPr>
      </w:pPr>
      <w:r>
        <w:rPr>
          <w:rFonts w:hint="eastAsia" w:cs="仿宋_GB2312"/>
          <w:szCs w:val="22"/>
        </w:rPr>
        <w:t>汽车保有量增长率=GDP增长率*弹性系数</w:t>
      </w:r>
    </w:p>
    <w:p>
      <w:pPr>
        <w:pStyle w:val="7"/>
      </w:pPr>
      <w:r>
        <w:t>弹性系数法预测汽车保有量</w:t>
      </w: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2139"/>
        <w:gridCol w:w="711"/>
        <w:gridCol w:w="711"/>
        <w:gridCol w:w="711"/>
        <w:gridCol w:w="711"/>
        <w:gridCol w:w="712"/>
        <w:gridCol w:w="712"/>
        <w:gridCol w:w="711"/>
        <w:gridCol w:w="642"/>
        <w:gridCol w:w="60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1279" w:type="pct"/>
            <w:shd w:val="clear" w:color="auto" w:fill="D9D9D9"/>
            <w:noWrap/>
            <w:vAlign w:val="center"/>
          </w:tcPr>
          <w:p>
            <w:pPr>
              <w:spacing w:line="240" w:lineRule="auto"/>
              <w:jc w:val="center"/>
              <w:rPr>
                <w:rFonts w:hint="eastAsia"/>
                <w:b/>
                <w:sz w:val="19"/>
              </w:rPr>
            </w:pPr>
            <w:r>
              <w:rPr>
                <w:rFonts w:hint="eastAsia"/>
                <w:b/>
                <w:sz w:val="19"/>
              </w:rPr>
              <w:t>年份（年）</w:t>
            </w:r>
          </w:p>
        </w:tc>
        <w:tc>
          <w:tcPr>
            <w:tcW w:w="425" w:type="pct"/>
            <w:shd w:val="clear" w:color="auto" w:fill="D9D9D9"/>
            <w:noWrap/>
            <w:vAlign w:val="center"/>
          </w:tcPr>
          <w:p>
            <w:pPr>
              <w:spacing w:line="240" w:lineRule="auto"/>
              <w:jc w:val="center"/>
              <w:rPr>
                <w:rFonts w:hint="eastAsia"/>
                <w:b/>
                <w:sz w:val="19"/>
              </w:rPr>
            </w:pPr>
            <w:r>
              <w:rPr>
                <w:rFonts w:hint="eastAsia"/>
                <w:b/>
                <w:sz w:val="19"/>
              </w:rPr>
              <w:t>2019</w:t>
            </w:r>
          </w:p>
        </w:tc>
        <w:tc>
          <w:tcPr>
            <w:tcW w:w="425" w:type="pct"/>
            <w:shd w:val="clear" w:color="auto" w:fill="D9D9D9"/>
            <w:noWrap/>
            <w:vAlign w:val="center"/>
          </w:tcPr>
          <w:p>
            <w:pPr>
              <w:spacing w:line="240" w:lineRule="auto"/>
              <w:jc w:val="center"/>
              <w:rPr>
                <w:rFonts w:hint="eastAsia"/>
                <w:b/>
                <w:sz w:val="19"/>
              </w:rPr>
            </w:pPr>
            <w:r>
              <w:rPr>
                <w:rFonts w:hint="eastAsia"/>
                <w:b/>
                <w:sz w:val="19"/>
              </w:rPr>
              <w:t>2020</w:t>
            </w:r>
          </w:p>
        </w:tc>
        <w:tc>
          <w:tcPr>
            <w:tcW w:w="425" w:type="pct"/>
            <w:shd w:val="clear" w:color="auto" w:fill="D9D9D9"/>
            <w:noWrap/>
            <w:vAlign w:val="center"/>
          </w:tcPr>
          <w:p>
            <w:pPr>
              <w:spacing w:line="240" w:lineRule="auto"/>
              <w:jc w:val="center"/>
              <w:rPr>
                <w:rFonts w:hint="eastAsia"/>
                <w:b/>
                <w:sz w:val="19"/>
              </w:rPr>
            </w:pPr>
            <w:r>
              <w:rPr>
                <w:rFonts w:hint="eastAsia"/>
                <w:b/>
                <w:sz w:val="19"/>
              </w:rPr>
              <w:t>2021</w:t>
            </w:r>
          </w:p>
        </w:tc>
        <w:tc>
          <w:tcPr>
            <w:tcW w:w="425" w:type="pct"/>
            <w:shd w:val="clear" w:color="auto" w:fill="D9D9D9"/>
            <w:noWrap/>
            <w:vAlign w:val="center"/>
          </w:tcPr>
          <w:p>
            <w:pPr>
              <w:spacing w:line="240" w:lineRule="auto"/>
              <w:jc w:val="center"/>
              <w:rPr>
                <w:rFonts w:hint="eastAsia"/>
                <w:b/>
                <w:sz w:val="19"/>
              </w:rPr>
            </w:pPr>
            <w:r>
              <w:rPr>
                <w:rFonts w:hint="eastAsia"/>
                <w:b/>
                <w:sz w:val="19"/>
              </w:rPr>
              <w:t>2022</w:t>
            </w:r>
          </w:p>
        </w:tc>
        <w:tc>
          <w:tcPr>
            <w:tcW w:w="426" w:type="pct"/>
            <w:shd w:val="clear" w:color="auto" w:fill="D9D9D9"/>
            <w:noWrap/>
            <w:vAlign w:val="center"/>
          </w:tcPr>
          <w:p>
            <w:pPr>
              <w:spacing w:line="240" w:lineRule="auto"/>
              <w:jc w:val="center"/>
              <w:rPr>
                <w:rFonts w:hint="eastAsia"/>
                <w:b/>
                <w:sz w:val="19"/>
              </w:rPr>
            </w:pPr>
            <w:r>
              <w:rPr>
                <w:rFonts w:hint="eastAsia"/>
                <w:b/>
                <w:sz w:val="19"/>
              </w:rPr>
              <w:t>2023</w:t>
            </w:r>
          </w:p>
        </w:tc>
        <w:tc>
          <w:tcPr>
            <w:tcW w:w="426" w:type="pct"/>
            <w:shd w:val="clear" w:color="auto" w:fill="D9D9D9"/>
            <w:noWrap/>
            <w:vAlign w:val="center"/>
          </w:tcPr>
          <w:p>
            <w:pPr>
              <w:spacing w:line="240" w:lineRule="auto"/>
              <w:jc w:val="center"/>
              <w:rPr>
                <w:rFonts w:hint="eastAsia"/>
                <w:b/>
                <w:sz w:val="19"/>
              </w:rPr>
            </w:pPr>
            <w:r>
              <w:rPr>
                <w:rFonts w:hint="eastAsia"/>
                <w:b/>
                <w:sz w:val="19"/>
              </w:rPr>
              <w:t>2024</w:t>
            </w:r>
          </w:p>
        </w:tc>
        <w:tc>
          <w:tcPr>
            <w:tcW w:w="425" w:type="pct"/>
            <w:shd w:val="clear" w:color="auto" w:fill="D9D9D9"/>
            <w:noWrap/>
            <w:vAlign w:val="center"/>
          </w:tcPr>
          <w:p>
            <w:pPr>
              <w:spacing w:line="240" w:lineRule="auto"/>
              <w:jc w:val="center"/>
              <w:rPr>
                <w:rFonts w:hint="eastAsia"/>
                <w:b/>
                <w:sz w:val="19"/>
              </w:rPr>
            </w:pPr>
            <w:r>
              <w:rPr>
                <w:rFonts w:hint="eastAsia"/>
                <w:b/>
                <w:sz w:val="19"/>
              </w:rPr>
              <w:t>2025</w:t>
            </w:r>
          </w:p>
        </w:tc>
        <w:tc>
          <w:tcPr>
            <w:tcW w:w="384" w:type="pct"/>
            <w:shd w:val="clear" w:color="auto" w:fill="D9D9D9"/>
            <w:vAlign w:val="center"/>
          </w:tcPr>
          <w:p>
            <w:pPr>
              <w:spacing w:line="240" w:lineRule="auto"/>
              <w:jc w:val="center"/>
              <w:rPr>
                <w:rFonts w:hint="eastAsia"/>
                <w:b/>
                <w:sz w:val="19"/>
              </w:rPr>
            </w:pPr>
            <w:r>
              <w:rPr>
                <w:rFonts w:hint="eastAsia"/>
                <w:b/>
                <w:sz w:val="19"/>
              </w:rPr>
              <w:t>2</w:t>
            </w:r>
            <w:r>
              <w:rPr>
                <w:b/>
                <w:sz w:val="19"/>
              </w:rPr>
              <w:t>028</w:t>
            </w:r>
          </w:p>
        </w:tc>
        <w:tc>
          <w:tcPr>
            <w:tcW w:w="361" w:type="pct"/>
            <w:shd w:val="clear" w:color="auto" w:fill="D9D9D9"/>
            <w:vAlign w:val="center"/>
          </w:tcPr>
          <w:p>
            <w:pPr>
              <w:spacing w:line="240" w:lineRule="auto"/>
              <w:jc w:val="center"/>
              <w:rPr>
                <w:rFonts w:hint="eastAsia"/>
                <w:b/>
                <w:sz w:val="19"/>
              </w:rPr>
            </w:pPr>
            <w:r>
              <w:rPr>
                <w:rFonts w:hint="eastAsia"/>
                <w:b/>
                <w:sz w:val="19"/>
              </w:rPr>
              <w:t>2</w:t>
            </w:r>
            <w:r>
              <w:rPr>
                <w:b/>
                <w:sz w:val="19"/>
              </w:rPr>
              <w:t>035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9" w:type="pct"/>
            <w:shd w:val="clear" w:color="auto" w:fill="auto"/>
            <w:noWrap/>
            <w:vAlign w:val="center"/>
          </w:tcPr>
          <w:p>
            <w:pPr>
              <w:spacing w:line="240" w:lineRule="auto"/>
              <w:jc w:val="center"/>
              <w:rPr>
                <w:rFonts w:hint="eastAsia"/>
                <w:sz w:val="19"/>
              </w:rPr>
            </w:pPr>
            <w:r>
              <w:rPr>
                <w:rFonts w:hint="eastAsia"/>
                <w:sz w:val="19"/>
              </w:rPr>
              <w:t>GDP增长率（%）</w:t>
            </w:r>
          </w:p>
        </w:tc>
        <w:tc>
          <w:tcPr>
            <w:tcW w:w="425" w:type="pct"/>
            <w:shd w:val="clear" w:color="auto" w:fill="auto"/>
            <w:noWrap/>
            <w:vAlign w:val="center"/>
          </w:tcPr>
          <w:p>
            <w:pPr>
              <w:spacing w:line="240" w:lineRule="auto"/>
              <w:jc w:val="center"/>
              <w:rPr>
                <w:rFonts w:hint="eastAsia"/>
                <w:sz w:val="19"/>
              </w:rPr>
            </w:pPr>
            <w:r>
              <w:rPr>
                <w:sz w:val="19"/>
              </w:rPr>
              <w:t>-6.29%</w:t>
            </w:r>
          </w:p>
        </w:tc>
        <w:tc>
          <w:tcPr>
            <w:tcW w:w="425" w:type="pct"/>
            <w:shd w:val="clear" w:color="auto" w:fill="auto"/>
            <w:noWrap/>
            <w:vAlign w:val="center"/>
          </w:tcPr>
          <w:p>
            <w:pPr>
              <w:spacing w:line="240" w:lineRule="auto"/>
              <w:jc w:val="center"/>
              <w:rPr>
                <w:rFonts w:hint="eastAsia"/>
                <w:sz w:val="19"/>
              </w:rPr>
            </w:pPr>
            <w:r>
              <w:rPr>
                <w:sz w:val="19"/>
              </w:rPr>
              <w:t>2.34%</w:t>
            </w:r>
          </w:p>
        </w:tc>
        <w:tc>
          <w:tcPr>
            <w:tcW w:w="425" w:type="pct"/>
            <w:shd w:val="clear" w:color="auto" w:fill="auto"/>
            <w:noWrap/>
            <w:vAlign w:val="center"/>
          </w:tcPr>
          <w:p>
            <w:pPr>
              <w:spacing w:line="240" w:lineRule="auto"/>
              <w:jc w:val="center"/>
              <w:rPr>
                <w:rFonts w:hint="eastAsia"/>
                <w:sz w:val="19"/>
              </w:rPr>
            </w:pPr>
            <w:r>
              <w:rPr>
                <w:sz w:val="19"/>
              </w:rPr>
              <w:t>9.25%</w:t>
            </w:r>
          </w:p>
        </w:tc>
        <w:tc>
          <w:tcPr>
            <w:tcW w:w="425" w:type="pct"/>
            <w:shd w:val="clear" w:color="auto" w:fill="auto"/>
            <w:noWrap/>
            <w:vAlign w:val="center"/>
          </w:tcPr>
          <w:p>
            <w:pPr>
              <w:spacing w:line="240" w:lineRule="auto"/>
              <w:jc w:val="center"/>
              <w:rPr>
                <w:rFonts w:hint="eastAsia"/>
                <w:sz w:val="19"/>
              </w:rPr>
            </w:pPr>
            <w:r>
              <w:rPr>
                <w:sz w:val="19"/>
              </w:rPr>
              <w:t>2.60%</w:t>
            </w:r>
          </w:p>
        </w:tc>
        <w:tc>
          <w:tcPr>
            <w:tcW w:w="426" w:type="pct"/>
            <w:shd w:val="clear" w:color="auto" w:fill="auto"/>
            <w:noWrap/>
            <w:vAlign w:val="center"/>
          </w:tcPr>
          <w:p>
            <w:pPr>
              <w:spacing w:line="240" w:lineRule="auto"/>
              <w:jc w:val="center"/>
              <w:rPr>
                <w:rFonts w:hint="eastAsia"/>
                <w:sz w:val="19"/>
              </w:rPr>
            </w:pPr>
            <w:r>
              <w:rPr>
                <w:rFonts w:ascii="Times New Roman" w:hAnsi="Times New Roman" w:eastAsia="等线"/>
                <w:color w:val="000000"/>
                <w:sz w:val="19"/>
                <w:szCs w:val="19"/>
              </w:rPr>
              <w:t>7.10%</w:t>
            </w:r>
          </w:p>
        </w:tc>
        <w:tc>
          <w:tcPr>
            <w:tcW w:w="426" w:type="pct"/>
            <w:shd w:val="clear" w:color="auto" w:fill="auto"/>
            <w:noWrap/>
            <w:vAlign w:val="center"/>
          </w:tcPr>
          <w:p>
            <w:pPr>
              <w:spacing w:line="240" w:lineRule="auto"/>
              <w:jc w:val="center"/>
              <w:rPr>
                <w:rFonts w:hint="eastAsia"/>
                <w:sz w:val="19"/>
              </w:rPr>
            </w:pPr>
            <w:r>
              <w:rPr>
                <w:rFonts w:ascii="Times New Roman" w:hAnsi="Times New Roman" w:eastAsia="等线"/>
                <w:color w:val="000000"/>
                <w:sz w:val="19"/>
                <w:szCs w:val="19"/>
              </w:rPr>
              <w:t>3.00%</w:t>
            </w:r>
          </w:p>
        </w:tc>
        <w:tc>
          <w:tcPr>
            <w:tcW w:w="425" w:type="pct"/>
            <w:shd w:val="clear" w:color="auto" w:fill="auto"/>
            <w:noWrap/>
            <w:vAlign w:val="center"/>
          </w:tcPr>
          <w:p>
            <w:pPr>
              <w:spacing w:line="240" w:lineRule="auto"/>
              <w:jc w:val="center"/>
              <w:rPr>
                <w:rFonts w:hint="eastAsia"/>
                <w:sz w:val="19"/>
              </w:rPr>
            </w:pPr>
            <w:r>
              <w:rPr>
                <w:rFonts w:ascii="Times New Roman" w:hAnsi="Times New Roman" w:eastAsia="等线"/>
                <w:color w:val="000000"/>
                <w:sz w:val="19"/>
                <w:szCs w:val="19"/>
              </w:rPr>
              <w:t>3.00%</w:t>
            </w:r>
          </w:p>
        </w:tc>
        <w:tc>
          <w:tcPr>
            <w:tcW w:w="384" w:type="pct"/>
            <w:vAlign w:val="center"/>
          </w:tcPr>
          <w:p>
            <w:pPr>
              <w:spacing w:line="240" w:lineRule="auto"/>
              <w:jc w:val="center"/>
              <w:rPr>
                <w:rFonts w:hint="eastAsia"/>
                <w:sz w:val="19"/>
              </w:rPr>
            </w:pPr>
            <w:r>
              <w:rPr>
                <w:rFonts w:hint="eastAsia"/>
                <w:sz w:val="19"/>
              </w:rPr>
              <w:t>3.00%</w:t>
            </w:r>
          </w:p>
        </w:tc>
        <w:tc>
          <w:tcPr>
            <w:tcW w:w="361" w:type="pct"/>
            <w:vAlign w:val="center"/>
          </w:tcPr>
          <w:p>
            <w:pPr>
              <w:spacing w:line="240" w:lineRule="auto"/>
              <w:jc w:val="center"/>
              <w:rPr>
                <w:rFonts w:hint="eastAsia"/>
                <w:sz w:val="19"/>
              </w:rPr>
            </w:pPr>
            <w:r>
              <w:rPr>
                <w:rFonts w:hint="eastAsia"/>
                <w:sz w:val="19"/>
              </w:rPr>
              <w:t>3.00%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9" w:type="pct"/>
            <w:shd w:val="clear" w:color="auto" w:fill="auto"/>
            <w:noWrap/>
            <w:vAlign w:val="center"/>
          </w:tcPr>
          <w:p>
            <w:pPr>
              <w:spacing w:line="240" w:lineRule="auto"/>
              <w:jc w:val="center"/>
              <w:rPr>
                <w:rFonts w:hint="eastAsia"/>
                <w:sz w:val="19"/>
              </w:rPr>
            </w:pPr>
            <w:r>
              <w:rPr>
                <w:rFonts w:hint="eastAsia"/>
                <w:sz w:val="19"/>
              </w:rPr>
              <w:t>汽车保有量（辆）</w:t>
            </w:r>
          </w:p>
        </w:tc>
        <w:tc>
          <w:tcPr>
            <w:tcW w:w="425" w:type="pct"/>
            <w:shd w:val="clear" w:color="auto" w:fill="auto"/>
            <w:noWrap/>
            <w:vAlign w:val="center"/>
          </w:tcPr>
          <w:p>
            <w:pPr>
              <w:spacing w:line="240" w:lineRule="auto"/>
              <w:jc w:val="center"/>
              <w:rPr>
                <w:rFonts w:hint="eastAsia"/>
                <w:sz w:val="19"/>
              </w:rPr>
            </w:pPr>
            <w:r>
              <w:rPr>
                <w:sz w:val="19"/>
              </w:rPr>
              <w:t>46085</w:t>
            </w:r>
          </w:p>
        </w:tc>
        <w:tc>
          <w:tcPr>
            <w:tcW w:w="425" w:type="pct"/>
            <w:shd w:val="clear" w:color="auto" w:fill="auto"/>
            <w:noWrap/>
            <w:vAlign w:val="center"/>
          </w:tcPr>
          <w:p>
            <w:pPr>
              <w:spacing w:line="240" w:lineRule="auto"/>
              <w:jc w:val="center"/>
              <w:rPr>
                <w:rFonts w:hint="eastAsia"/>
                <w:sz w:val="19"/>
              </w:rPr>
            </w:pPr>
            <w:r>
              <w:rPr>
                <w:sz w:val="19"/>
              </w:rPr>
              <w:t>49175</w:t>
            </w:r>
          </w:p>
        </w:tc>
        <w:tc>
          <w:tcPr>
            <w:tcW w:w="425" w:type="pct"/>
            <w:shd w:val="clear" w:color="auto" w:fill="auto"/>
            <w:noWrap/>
            <w:vAlign w:val="center"/>
          </w:tcPr>
          <w:p>
            <w:pPr>
              <w:spacing w:line="240" w:lineRule="auto"/>
              <w:jc w:val="center"/>
              <w:rPr>
                <w:rFonts w:hint="eastAsia"/>
                <w:sz w:val="19"/>
              </w:rPr>
            </w:pPr>
            <w:r>
              <w:rPr>
                <w:sz w:val="19"/>
              </w:rPr>
              <w:t>51452</w:t>
            </w:r>
          </w:p>
        </w:tc>
        <w:tc>
          <w:tcPr>
            <w:tcW w:w="425" w:type="pct"/>
            <w:shd w:val="clear" w:color="auto" w:fill="auto"/>
            <w:noWrap/>
            <w:vAlign w:val="center"/>
          </w:tcPr>
          <w:p>
            <w:pPr>
              <w:spacing w:line="240" w:lineRule="auto"/>
              <w:jc w:val="center"/>
              <w:rPr>
                <w:rFonts w:hint="eastAsia"/>
                <w:sz w:val="19"/>
              </w:rPr>
            </w:pPr>
            <w:r>
              <w:rPr>
                <w:sz w:val="19"/>
              </w:rPr>
              <w:t>54256</w:t>
            </w:r>
          </w:p>
        </w:tc>
        <w:tc>
          <w:tcPr>
            <w:tcW w:w="426" w:type="pct"/>
            <w:shd w:val="clear" w:color="auto" w:fill="auto"/>
            <w:noWrap/>
            <w:vAlign w:val="center"/>
          </w:tcPr>
          <w:p>
            <w:pPr>
              <w:spacing w:line="240" w:lineRule="auto"/>
              <w:jc w:val="center"/>
              <w:rPr>
                <w:rFonts w:hint="eastAsia"/>
                <w:sz w:val="19"/>
              </w:rPr>
            </w:pPr>
            <w:r>
              <w:rPr>
                <w:rFonts w:ascii="Times New Roman" w:hAnsi="Times New Roman" w:eastAsia="等线"/>
                <w:color w:val="000000"/>
                <w:sz w:val="19"/>
                <w:szCs w:val="19"/>
              </w:rPr>
              <w:t>56880</w:t>
            </w:r>
          </w:p>
        </w:tc>
        <w:tc>
          <w:tcPr>
            <w:tcW w:w="426" w:type="pct"/>
            <w:shd w:val="clear" w:color="auto" w:fill="auto"/>
            <w:noWrap/>
            <w:vAlign w:val="center"/>
          </w:tcPr>
          <w:p>
            <w:pPr>
              <w:spacing w:line="240" w:lineRule="auto"/>
              <w:jc w:val="center"/>
              <w:rPr>
                <w:rFonts w:hint="eastAsia"/>
                <w:sz w:val="19"/>
              </w:rPr>
            </w:pPr>
            <w:r>
              <w:rPr>
                <w:rFonts w:ascii="Times New Roman" w:hAnsi="Times New Roman" w:eastAsia="等线"/>
                <w:color w:val="000000"/>
                <w:sz w:val="19"/>
                <w:szCs w:val="19"/>
              </w:rPr>
              <w:t xml:space="preserve">58302 </w:t>
            </w:r>
          </w:p>
        </w:tc>
        <w:tc>
          <w:tcPr>
            <w:tcW w:w="425" w:type="pct"/>
            <w:shd w:val="clear" w:color="auto" w:fill="auto"/>
            <w:noWrap/>
            <w:vAlign w:val="center"/>
          </w:tcPr>
          <w:p>
            <w:pPr>
              <w:spacing w:line="240" w:lineRule="auto"/>
              <w:jc w:val="center"/>
              <w:rPr>
                <w:rFonts w:hint="eastAsia"/>
                <w:sz w:val="19"/>
              </w:rPr>
            </w:pPr>
            <w:r>
              <w:rPr>
                <w:rFonts w:ascii="Times New Roman" w:hAnsi="Times New Roman" w:eastAsia="等线"/>
                <w:color w:val="000000"/>
                <w:sz w:val="19"/>
                <w:szCs w:val="19"/>
              </w:rPr>
              <w:t xml:space="preserve">59526 </w:t>
            </w:r>
          </w:p>
        </w:tc>
        <w:tc>
          <w:tcPr>
            <w:tcW w:w="384" w:type="pct"/>
            <w:vAlign w:val="center"/>
          </w:tcPr>
          <w:p>
            <w:pPr>
              <w:spacing w:line="240" w:lineRule="auto"/>
              <w:jc w:val="center"/>
              <w:rPr>
                <w:rFonts w:hint="eastAsia"/>
                <w:sz w:val="19"/>
              </w:rPr>
            </w:pPr>
            <w:r>
              <w:rPr>
                <w:rFonts w:hint="eastAsia"/>
                <w:sz w:val="19"/>
              </w:rPr>
              <w:t xml:space="preserve">61190 </w:t>
            </w:r>
          </w:p>
        </w:tc>
        <w:tc>
          <w:tcPr>
            <w:tcW w:w="361" w:type="pct"/>
            <w:vAlign w:val="center"/>
          </w:tcPr>
          <w:p>
            <w:pPr>
              <w:spacing w:line="240" w:lineRule="auto"/>
              <w:jc w:val="center"/>
              <w:rPr>
                <w:rFonts w:hint="eastAsia"/>
                <w:sz w:val="19"/>
              </w:rPr>
            </w:pPr>
            <w:r>
              <w:rPr>
                <w:rFonts w:hint="eastAsia"/>
                <w:sz w:val="19"/>
              </w:rPr>
              <w:t xml:space="preserve">67911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9" w:type="pct"/>
            <w:shd w:val="clear" w:color="auto" w:fill="auto"/>
            <w:noWrap/>
            <w:vAlign w:val="center"/>
          </w:tcPr>
          <w:p>
            <w:pPr>
              <w:spacing w:line="240" w:lineRule="auto"/>
              <w:jc w:val="center"/>
              <w:rPr>
                <w:rFonts w:hint="eastAsia"/>
                <w:sz w:val="19"/>
              </w:rPr>
            </w:pPr>
            <w:r>
              <w:rPr>
                <w:rFonts w:hint="eastAsia"/>
                <w:sz w:val="19"/>
              </w:rPr>
              <w:t>汽车保有量增长率（%）</w:t>
            </w:r>
          </w:p>
        </w:tc>
        <w:tc>
          <w:tcPr>
            <w:tcW w:w="425" w:type="pct"/>
            <w:shd w:val="clear" w:color="auto" w:fill="auto"/>
            <w:noWrap/>
            <w:vAlign w:val="center"/>
          </w:tcPr>
          <w:p>
            <w:pPr>
              <w:spacing w:line="240" w:lineRule="auto"/>
              <w:jc w:val="center"/>
              <w:rPr>
                <w:rFonts w:hint="eastAsia"/>
                <w:sz w:val="19"/>
              </w:rPr>
            </w:pPr>
            <w:r>
              <w:rPr>
                <w:sz w:val="19"/>
              </w:rPr>
              <w:t>7.03%</w:t>
            </w:r>
          </w:p>
        </w:tc>
        <w:tc>
          <w:tcPr>
            <w:tcW w:w="425" w:type="pct"/>
            <w:shd w:val="clear" w:color="auto" w:fill="auto"/>
            <w:noWrap/>
            <w:vAlign w:val="center"/>
          </w:tcPr>
          <w:p>
            <w:pPr>
              <w:spacing w:line="240" w:lineRule="auto"/>
              <w:jc w:val="center"/>
              <w:rPr>
                <w:rFonts w:hint="eastAsia"/>
                <w:sz w:val="19"/>
              </w:rPr>
            </w:pPr>
            <w:r>
              <w:rPr>
                <w:sz w:val="19"/>
              </w:rPr>
              <w:t>6.71%</w:t>
            </w:r>
          </w:p>
        </w:tc>
        <w:tc>
          <w:tcPr>
            <w:tcW w:w="425" w:type="pct"/>
            <w:shd w:val="clear" w:color="auto" w:fill="auto"/>
            <w:noWrap/>
            <w:vAlign w:val="center"/>
          </w:tcPr>
          <w:p>
            <w:pPr>
              <w:spacing w:line="240" w:lineRule="auto"/>
              <w:jc w:val="center"/>
              <w:rPr>
                <w:rFonts w:hint="eastAsia"/>
                <w:sz w:val="19"/>
              </w:rPr>
            </w:pPr>
            <w:r>
              <w:rPr>
                <w:sz w:val="19"/>
              </w:rPr>
              <w:t>4.63%</w:t>
            </w:r>
          </w:p>
        </w:tc>
        <w:tc>
          <w:tcPr>
            <w:tcW w:w="425" w:type="pct"/>
            <w:shd w:val="clear" w:color="auto" w:fill="auto"/>
            <w:noWrap/>
            <w:vAlign w:val="center"/>
          </w:tcPr>
          <w:p>
            <w:pPr>
              <w:spacing w:line="240" w:lineRule="auto"/>
              <w:jc w:val="center"/>
              <w:rPr>
                <w:rFonts w:hint="eastAsia"/>
                <w:sz w:val="19"/>
              </w:rPr>
            </w:pPr>
            <w:r>
              <w:rPr>
                <w:sz w:val="19"/>
              </w:rPr>
              <w:t>5.45%</w:t>
            </w:r>
          </w:p>
        </w:tc>
        <w:tc>
          <w:tcPr>
            <w:tcW w:w="426" w:type="pct"/>
            <w:shd w:val="clear" w:color="auto" w:fill="auto"/>
            <w:noWrap/>
            <w:vAlign w:val="center"/>
          </w:tcPr>
          <w:p>
            <w:pPr>
              <w:spacing w:line="240" w:lineRule="auto"/>
              <w:jc w:val="center"/>
              <w:rPr>
                <w:rFonts w:hint="eastAsia"/>
                <w:sz w:val="19"/>
              </w:rPr>
            </w:pPr>
            <w:r>
              <w:rPr>
                <w:rFonts w:ascii="Times New Roman" w:hAnsi="Times New Roman" w:eastAsia="等线"/>
                <w:color w:val="000000"/>
                <w:sz w:val="19"/>
                <w:szCs w:val="19"/>
              </w:rPr>
              <w:t>4.84%</w:t>
            </w:r>
          </w:p>
        </w:tc>
        <w:tc>
          <w:tcPr>
            <w:tcW w:w="426" w:type="pct"/>
            <w:shd w:val="clear" w:color="auto" w:fill="auto"/>
            <w:noWrap/>
            <w:vAlign w:val="center"/>
          </w:tcPr>
          <w:p>
            <w:pPr>
              <w:spacing w:line="240" w:lineRule="auto"/>
              <w:jc w:val="center"/>
              <w:rPr>
                <w:rFonts w:hint="eastAsia"/>
                <w:sz w:val="19"/>
              </w:rPr>
            </w:pPr>
            <w:r>
              <w:rPr>
                <w:rFonts w:ascii="Times New Roman" w:hAnsi="Times New Roman" w:eastAsia="等线"/>
                <w:color w:val="000000"/>
                <w:sz w:val="19"/>
                <w:szCs w:val="19"/>
              </w:rPr>
              <w:t>2.50%</w:t>
            </w:r>
          </w:p>
        </w:tc>
        <w:tc>
          <w:tcPr>
            <w:tcW w:w="425" w:type="pct"/>
            <w:shd w:val="clear" w:color="auto" w:fill="auto"/>
            <w:noWrap/>
            <w:vAlign w:val="center"/>
          </w:tcPr>
          <w:p>
            <w:pPr>
              <w:spacing w:line="240" w:lineRule="auto"/>
              <w:jc w:val="center"/>
              <w:rPr>
                <w:rFonts w:hint="eastAsia"/>
                <w:sz w:val="19"/>
              </w:rPr>
            </w:pPr>
            <w:r>
              <w:rPr>
                <w:rFonts w:ascii="Times New Roman" w:hAnsi="Times New Roman" w:eastAsia="等线"/>
                <w:color w:val="000000"/>
                <w:sz w:val="19"/>
                <w:szCs w:val="19"/>
              </w:rPr>
              <w:t>2.10%</w:t>
            </w:r>
          </w:p>
        </w:tc>
        <w:tc>
          <w:tcPr>
            <w:tcW w:w="384" w:type="pct"/>
            <w:vAlign w:val="center"/>
          </w:tcPr>
          <w:p>
            <w:pPr>
              <w:spacing w:line="240" w:lineRule="auto"/>
              <w:jc w:val="center"/>
              <w:rPr>
                <w:rFonts w:hint="eastAsia"/>
                <w:sz w:val="19"/>
              </w:rPr>
            </w:pPr>
            <w:r>
              <w:rPr>
                <w:sz w:val="19"/>
              </w:rPr>
              <w:t>1.65%</w:t>
            </w:r>
          </w:p>
        </w:tc>
        <w:tc>
          <w:tcPr>
            <w:tcW w:w="361" w:type="pct"/>
            <w:vAlign w:val="center"/>
          </w:tcPr>
          <w:p>
            <w:pPr>
              <w:spacing w:line="240" w:lineRule="auto"/>
              <w:jc w:val="center"/>
              <w:rPr>
                <w:rFonts w:hint="eastAsia"/>
                <w:sz w:val="19"/>
              </w:rPr>
            </w:pPr>
            <w:r>
              <w:rPr>
                <w:sz w:val="19"/>
              </w:rPr>
              <w:t>1.50%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9" w:type="pct"/>
            <w:shd w:val="clear" w:color="auto" w:fill="auto"/>
            <w:noWrap/>
            <w:vAlign w:val="center"/>
          </w:tcPr>
          <w:p>
            <w:pPr>
              <w:spacing w:line="240" w:lineRule="auto"/>
              <w:jc w:val="center"/>
              <w:rPr>
                <w:rFonts w:hint="eastAsia"/>
                <w:sz w:val="19"/>
              </w:rPr>
            </w:pPr>
            <w:r>
              <w:rPr>
                <w:rFonts w:hint="eastAsia"/>
                <w:sz w:val="19"/>
              </w:rPr>
              <w:t>弹性系数</w:t>
            </w:r>
          </w:p>
        </w:tc>
        <w:tc>
          <w:tcPr>
            <w:tcW w:w="425" w:type="pct"/>
            <w:shd w:val="clear" w:color="auto" w:fill="auto"/>
            <w:noWrap/>
            <w:vAlign w:val="center"/>
          </w:tcPr>
          <w:p>
            <w:pPr>
              <w:spacing w:line="240" w:lineRule="auto"/>
              <w:jc w:val="center"/>
              <w:rPr>
                <w:rFonts w:hint="eastAsia"/>
                <w:sz w:val="19"/>
              </w:rPr>
            </w:pPr>
            <w:r>
              <w:rPr>
                <w:sz w:val="19"/>
              </w:rPr>
              <w:t xml:space="preserve">-1.12 </w:t>
            </w:r>
          </w:p>
        </w:tc>
        <w:tc>
          <w:tcPr>
            <w:tcW w:w="425" w:type="pct"/>
            <w:shd w:val="clear" w:color="auto" w:fill="auto"/>
            <w:noWrap/>
            <w:vAlign w:val="center"/>
          </w:tcPr>
          <w:p>
            <w:pPr>
              <w:spacing w:line="240" w:lineRule="auto"/>
              <w:jc w:val="center"/>
              <w:rPr>
                <w:rFonts w:hint="eastAsia"/>
                <w:sz w:val="19"/>
              </w:rPr>
            </w:pPr>
            <w:r>
              <w:rPr>
                <w:sz w:val="19"/>
              </w:rPr>
              <w:t xml:space="preserve">2.86 </w:t>
            </w:r>
          </w:p>
        </w:tc>
        <w:tc>
          <w:tcPr>
            <w:tcW w:w="425" w:type="pct"/>
            <w:shd w:val="clear" w:color="auto" w:fill="auto"/>
            <w:noWrap/>
            <w:vAlign w:val="center"/>
          </w:tcPr>
          <w:p>
            <w:pPr>
              <w:spacing w:line="240" w:lineRule="auto"/>
              <w:jc w:val="center"/>
              <w:rPr>
                <w:rFonts w:hint="eastAsia"/>
                <w:sz w:val="19"/>
              </w:rPr>
            </w:pPr>
            <w:r>
              <w:rPr>
                <w:sz w:val="19"/>
              </w:rPr>
              <w:t xml:space="preserve">0.50 </w:t>
            </w:r>
          </w:p>
        </w:tc>
        <w:tc>
          <w:tcPr>
            <w:tcW w:w="425" w:type="pct"/>
            <w:shd w:val="clear" w:color="auto" w:fill="auto"/>
            <w:noWrap/>
            <w:vAlign w:val="center"/>
          </w:tcPr>
          <w:p>
            <w:pPr>
              <w:spacing w:line="240" w:lineRule="auto"/>
              <w:jc w:val="center"/>
              <w:rPr>
                <w:rFonts w:hint="eastAsia"/>
                <w:sz w:val="19"/>
              </w:rPr>
            </w:pPr>
            <w:r>
              <w:rPr>
                <w:sz w:val="19"/>
              </w:rPr>
              <w:t xml:space="preserve">2.10 </w:t>
            </w:r>
          </w:p>
        </w:tc>
        <w:tc>
          <w:tcPr>
            <w:tcW w:w="426" w:type="pct"/>
            <w:shd w:val="clear" w:color="auto" w:fill="auto"/>
            <w:noWrap/>
            <w:vAlign w:val="center"/>
          </w:tcPr>
          <w:p>
            <w:pPr>
              <w:spacing w:line="240" w:lineRule="auto"/>
              <w:jc w:val="center"/>
              <w:rPr>
                <w:rFonts w:hint="eastAsia"/>
                <w:sz w:val="19"/>
              </w:rPr>
            </w:pPr>
            <w:r>
              <w:rPr>
                <w:rFonts w:ascii="Times New Roman" w:hAnsi="Times New Roman" w:eastAsia="等线"/>
                <w:color w:val="000000"/>
                <w:sz w:val="19"/>
                <w:szCs w:val="19"/>
              </w:rPr>
              <w:t xml:space="preserve">1.47 </w:t>
            </w:r>
          </w:p>
        </w:tc>
        <w:tc>
          <w:tcPr>
            <w:tcW w:w="426" w:type="pct"/>
            <w:shd w:val="clear" w:color="auto" w:fill="auto"/>
            <w:noWrap/>
            <w:vAlign w:val="center"/>
          </w:tcPr>
          <w:p>
            <w:pPr>
              <w:spacing w:line="240" w:lineRule="auto"/>
              <w:jc w:val="center"/>
              <w:rPr>
                <w:rFonts w:hint="eastAsia"/>
                <w:sz w:val="19"/>
              </w:rPr>
            </w:pPr>
            <w:r>
              <w:rPr>
                <w:rFonts w:ascii="Times New Roman" w:hAnsi="Times New Roman" w:eastAsia="等线"/>
                <w:color w:val="000000"/>
                <w:sz w:val="19"/>
                <w:szCs w:val="19"/>
              </w:rPr>
              <w:t xml:space="preserve">1.20 </w:t>
            </w:r>
          </w:p>
        </w:tc>
        <w:tc>
          <w:tcPr>
            <w:tcW w:w="425" w:type="pct"/>
            <w:shd w:val="clear" w:color="auto" w:fill="auto"/>
            <w:noWrap/>
            <w:vAlign w:val="center"/>
          </w:tcPr>
          <w:p>
            <w:pPr>
              <w:spacing w:line="240" w:lineRule="auto"/>
              <w:jc w:val="center"/>
              <w:rPr>
                <w:rFonts w:hint="eastAsia"/>
                <w:sz w:val="19"/>
              </w:rPr>
            </w:pPr>
            <w:r>
              <w:rPr>
                <w:rFonts w:ascii="Times New Roman" w:hAnsi="Times New Roman" w:eastAsia="等线"/>
                <w:color w:val="000000"/>
                <w:sz w:val="19"/>
                <w:szCs w:val="19"/>
              </w:rPr>
              <w:t>0.7</w:t>
            </w:r>
          </w:p>
        </w:tc>
        <w:tc>
          <w:tcPr>
            <w:tcW w:w="384" w:type="pct"/>
            <w:vAlign w:val="center"/>
          </w:tcPr>
          <w:p>
            <w:pPr>
              <w:spacing w:line="240" w:lineRule="auto"/>
              <w:jc w:val="center"/>
              <w:rPr>
                <w:rFonts w:hint="eastAsia"/>
                <w:sz w:val="19"/>
              </w:rPr>
            </w:pPr>
            <w:r>
              <w:rPr>
                <w:sz w:val="19"/>
              </w:rPr>
              <w:t>0.55</w:t>
            </w:r>
          </w:p>
        </w:tc>
        <w:tc>
          <w:tcPr>
            <w:tcW w:w="361" w:type="pct"/>
            <w:vAlign w:val="center"/>
          </w:tcPr>
          <w:p>
            <w:pPr>
              <w:spacing w:line="240" w:lineRule="auto"/>
              <w:jc w:val="center"/>
              <w:rPr>
                <w:rFonts w:hint="eastAsia"/>
                <w:sz w:val="19"/>
              </w:rPr>
            </w:pPr>
            <w:r>
              <w:rPr>
                <w:sz w:val="19"/>
              </w:rPr>
              <w:t>0.5</w:t>
            </w:r>
          </w:p>
        </w:tc>
      </w:tr>
    </w:tbl>
    <w:p>
      <w:pPr>
        <w:ind w:firstLine="560"/>
        <w:rPr>
          <w:rFonts w:hint="eastAsia" w:cs="仿宋_GB2312"/>
          <w:szCs w:val="22"/>
        </w:rPr>
      </w:pPr>
      <w:r>
        <w:rPr>
          <w:rFonts w:hint="eastAsia" w:cs="仿宋_GB2312"/>
          <w:szCs w:val="22"/>
        </w:rPr>
        <w:t>计算方法：</w:t>
      </w:r>
    </w:p>
    <w:p>
      <w:pPr>
        <w:ind w:firstLine="560"/>
        <w:rPr>
          <w:rFonts w:hint="eastAsia" w:cs="仿宋_GB2312"/>
          <w:szCs w:val="22"/>
        </w:rPr>
      </w:pPr>
      <w:r>
        <w:rPr>
          <w:rFonts w:hint="eastAsia" w:cs="仿宋_GB2312"/>
          <w:szCs w:val="22"/>
        </w:rPr>
        <w:t>（1）2023年GDP增长率：7.1%</w:t>
      </w:r>
    </w:p>
    <w:p>
      <w:pPr>
        <w:ind w:firstLine="560"/>
        <w:rPr>
          <w:rFonts w:hint="eastAsia" w:cs="仿宋_GB2312"/>
          <w:szCs w:val="22"/>
        </w:rPr>
      </w:pPr>
      <w:r>
        <w:rPr>
          <w:rFonts w:hint="eastAsia" w:cs="仿宋_GB2312"/>
          <w:szCs w:val="22"/>
        </w:rPr>
        <w:t>（2）2023年汽车保有量年均增长：4.84%</w:t>
      </w:r>
    </w:p>
    <w:p>
      <w:pPr>
        <w:ind w:firstLine="560"/>
        <w:rPr>
          <w:rFonts w:hint="eastAsia" w:cs="仿宋_GB2312"/>
          <w:szCs w:val="22"/>
        </w:rPr>
      </w:pPr>
      <w:r>
        <w:rPr>
          <w:rFonts w:hint="eastAsia" w:cs="仿宋_GB2312"/>
          <w:szCs w:val="22"/>
        </w:rPr>
        <w:t>（3）据（1）和（2）得出弹性系数：1.47</w:t>
      </w:r>
    </w:p>
    <w:p>
      <w:pPr>
        <w:ind w:firstLine="560"/>
        <w:rPr>
          <w:rFonts w:hint="eastAsia" w:cs="仿宋_GB2312"/>
          <w:szCs w:val="22"/>
        </w:rPr>
      </w:pPr>
      <w:r>
        <w:rPr>
          <w:rFonts w:hint="eastAsia" w:cs="仿宋_GB2312"/>
          <w:szCs w:val="22"/>
        </w:rPr>
        <w:t>（4）根据国民经济和社会发展第十四个五年规划纲要，预测“十四五”期间GDP年均增速在</w:t>
      </w:r>
      <w:r>
        <w:rPr>
          <w:rFonts w:cs="仿宋_GB2312"/>
          <w:szCs w:val="22"/>
        </w:rPr>
        <w:t>6</w:t>
      </w:r>
      <w:r>
        <w:rPr>
          <w:rFonts w:hint="eastAsia" w:cs="仿宋_GB2312"/>
          <w:szCs w:val="22"/>
        </w:rPr>
        <w:t>%左右，根据往年人口、汽车保有量变化情况，预测规划期间汽车保有量增长率呈下降趋势。</w:t>
      </w:r>
    </w:p>
    <w:p>
      <w:pPr>
        <w:ind w:firstLine="560"/>
        <w:rPr>
          <w:rFonts w:hint="eastAsia" w:cs="仿宋_GB2312"/>
          <w:szCs w:val="22"/>
        </w:rPr>
      </w:pPr>
      <w:r>
        <w:rPr>
          <w:rFonts w:hint="eastAsia" w:cs="仿宋_GB2312"/>
          <w:szCs w:val="22"/>
        </w:rPr>
        <w:t>（5）计算得出2025年汽车保有量为</w:t>
      </w:r>
      <w:r>
        <w:rPr>
          <w:rFonts w:cs="仿宋_GB2312"/>
          <w:szCs w:val="22"/>
        </w:rPr>
        <w:t>5</w:t>
      </w:r>
      <w:r>
        <w:rPr>
          <w:rFonts w:hint="eastAsia" w:cs="仿宋_GB2312"/>
          <w:szCs w:val="22"/>
        </w:rPr>
        <w:t>9526辆</w:t>
      </w:r>
      <w:r>
        <w:rPr>
          <w:rFonts w:cs="仿宋_GB2312"/>
          <w:szCs w:val="22"/>
        </w:rPr>
        <w:t>，2028</w:t>
      </w:r>
      <w:r>
        <w:rPr>
          <w:rFonts w:hint="eastAsia" w:cs="仿宋_GB2312"/>
          <w:szCs w:val="22"/>
        </w:rPr>
        <w:t>年保有量为</w:t>
      </w:r>
      <w:r>
        <w:rPr>
          <w:rFonts w:cs="仿宋_GB2312"/>
          <w:szCs w:val="22"/>
        </w:rPr>
        <w:t>61190</w:t>
      </w:r>
      <w:r>
        <w:rPr>
          <w:rFonts w:hint="eastAsia" w:cs="仿宋_GB2312"/>
          <w:szCs w:val="22"/>
        </w:rPr>
        <w:t>辆</w:t>
      </w:r>
      <w:r>
        <w:rPr>
          <w:rFonts w:cs="仿宋_GB2312"/>
          <w:szCs w:val="22"/>
        </w:rPr>
        <w:t>，2035</w:t>
      </w:r>
      <w:r>
        <w:rPr>
          <w:rFonts w:hint="eastAsia" w:cs="仿宋_GB2312"/>
          <w:szCs w:val="22"/>
        </w:rPr>
        <w:t>年保有量为</w:t>
      </w:r>
      <w:r>
        <w:rPr>
          <w:rFonts w:cs="仿宋_GB2312"/>
          <w:szCs w:val="22"/>
        </w:rPr>
        <w:t>67911</w:t>
      </w:r>
      <w:r>
        <w:rPr>
          <w:rFonts w:hint="eastAsia" w:cs="仿宋_GB2312"/>
          <w:szCs w:val="22"/>
        </w:rPr>
        <w:t>辆。</w:t>
      </w:r>
    </w:p>
    <w:p>
      <w:pPr>
        <w:pStyle w:val="6"/>
        <w:numPr>
          <w:ilvl w:val="4"/>
          <w:numId w:val="7"/>
        </w:numPr>
        <w:ind w:left="0" w:firstLine="560" w:firstLineChars="200"/>
        <w:rPr>
          <w:rFonts w:hint="eastAsia"/>
          <w:szCs w:val="24"/>
        </w:rPr>
      </w:pPr>
      <w:r>
        <w:rPr>
          <w:szCs w:val="24"/>
        </w:rPr>
        <w:t>时间序列法</w:t>
      </w:r>
    </w:p>
    <w:p>
      <w:pPr>
        <w:spacing w:line="360" w:lineRule="auto"/>
        <w:ind w:firstLine="560" w:firstLineChars="200"/>
        <w:rPr>
          <w:rFonts w:hint="eastAsia" w:cs="仿宋_GB2312"/>
          <w:szCs w:val="22"/>
        </w:rPr>
      </w:pPr>
      <w:r>
        <w:rPr>
          <w:rFonts w:hint="eastAsia" w:cs="仿宋_GB2312"/>
          <w:szCs w:val="22"/>
        </w:rPr>
        <w:t>通过201</w:t>
      </w:r>
      <w:r>
        <w:rPr>
          <w:rFonts w:cs="仿宋_GB2312"/>
          <w:szCs w:val="22"/>
        </w:rPr>
        <w:t>5</w:t>
      </w:r>
      <w:r>
        <w:rPr>
          <w:rFonts w:hint="eastAsia" w:cs="仿宋_GB2312"/>
          <w:szCs w:val="22"/>
        </w:rPr>
        <w:t>-2023年汽车保有量变化数据形成拟合函数，预测2025与203</w:t>
      </w:r>
      <w:r>
        <w:rPr>
          <w:rFonts w:cs="仿宋_GB2312"/>
          <w:szCs w:val="22"/>
        </w:rPr>
        <w:t>5</w:t>
      </w:r>
      <w:r>
        <w:rPr>
          <w:rFonts w:hint="eastAsia" w:cs="仿宋_GB2312"/>
          <w:szCs w:val="22"/>
        </w:rPr>
        <w:t>年机动车保有量。</w:t>
      </w:r>
    </w:p>
    <w:p>
      <w:pPr>
        <w:spacing w:line="360" w:lineRule="auto"/>
        <w:ind w:firstLine="560" w:firstLineChars="200"/>
        <w:rPr>
          <w:rFonts w:hint="eastAsia" w:cs="仿宋_GB2312"/>
          <w:szCs w:val="22"/>
        </w:rPr>
      </w:pPr>
      <w:r>
        <w:rPr>
          <w:rFonts w:hint="eastAsia" w:cs="仿宋_GB2312"/>
          <w:szCs w:val="22"/>
        </w:rPr>
        <w:t>通过曲线拟合，大致得出5条趋势曲线，去除最大值、最小值，选取线性函数、幂函数、二元函数三条函数曲线，由此计算得出</w:t>
      </w:r>
      <w:r>
        <w:rPr>
          <w:rFonts w:cs="仿宋_GB2312"/>
          <w:szCs w:val="22"/>
        </w:rPr>
        <w:t>2028</w:t>
      </w:r>
      <w:r>
        <w:rPr>
          <w:rFonts w:hint="eastAsia" w:cs="仿宋_GB2312"/>
          <w:szCs w:val="22"/>
        </w:rPr>
        <w:t>年与</w:t>
      </w:r>
      <w:r>
        <w:rPr>
          <w:rFonts w:cs="仿宋_GB2312"/>
          <w:szCs w:val="22"/>
        </w:rPr>
        <w:t>2035</w:t>
      </w:r>
      <w:r>
        <w:rPr>
          <w:rFonts w:hint="eastAsia" w:cs="仿宋_GB2312"/>
          <w:szCs w:val="22"/>
        </w:rPr>
        <w:t>年桓仁满族自治县机动车保有量。</w:t>
      </w:r>
    </w:p>
    <w:p>
      <w:pPr>
        <w:spacing w:line="360" w:lineRule="auto"/>
        <w:ind w:firstLine="560" w:firstLineChars="200"/>
        <w:rPr>
          <w:rFonts w:hint="eastAsia" w:cs="仿宋_GB2312"/>
          <w:szCs w:val="22"/>
        </w:rPr>
      </w:pPr>
      <w:r>
        <w:rPr>
          <w:rFonts w:hint="eastAsia" w:cs="仿宋_GB2312"/>
          <w:szCs w:val="22"/>
        </w:rPr>
        <w:t>线性函数：</w:t>
      </w:r>
      <w:r>
        <w:rPr>
          <w:rFonts w:cs="仿宋_GB2312"/>
          <w:szCs w:val="22"/>
        </w:rPr>
        <w:t>y=1563x+23434</w:t>
      </w:r>
    </w:p>
    <w:p>
      <w:pPr>
        <w:spacing w:line="360" w:lineRule="auto"/>
        <w:ind w:firstLine="560" w:firstLineChars="200"/>
        <w:rPr>
          <w:rFonts w:hint="eastAsia" w:cs="仿宋_GB2312"/>
          <w:szCs w:val="22"/>
        </w:rPr>
      </w:pPr>
      <w:r>
        <w:rPr>
          <w:rFonts w:hint="eastAsia" w:cs="仿宋_GB2312"/>
          <w:szCs w:val="22"/>
        </w:rPr>
        <w:t>幂函数：</w:t>
      </w:r>
      <w:r>
        <w:rPr>
          <w:rFonts w:cs="仿宋_GB2312"/>
          <w:szCs w:val="22"/>
        </w:rPr>
        <w:t>y=24159x</w:t>
      </w:r>
      <w:r>
        <w:rPr>
          <w:rFonts w:cs="仿宋_GB2312"/>
          <w:szCs w:val="22"/>
          <w:vertAlign w:val="superscript"/>
        </w:rPr>
        <w:t>0.1646</w:t>
      </w:r>
    </w:p>
    <w:p>
      <w:pPr>
        <w:spacing w:line="360" w:lineRule="auto"/>
        <w:ind w:firstLine="560" w:firstLineChars="200"/>
        <w:rPr>
          <w:rFonts w:hint="eastAsia" w:cs="仿宋_GB2312"/>
          <w:szCs w:val="22"/>
        </w:rPr>
      </w:pPr>
      <w:r>
        <w:rPr>
          <w:rFonts w:hint="eastAsia" w:cs="仿宋_GB2312"/>
          <w:szCs w:val="22"/>
        </w:rPr>
        <w:t>二元函数：</w:t>
      </w:r>
      <w:r>
        <w:rPr>
          <w:rFonts w:cs="仿宋_GB2312"/>
          <w:szCs w:val="22"/>
        </w:rPr>
        <w:t>y=-23x</w:t>
      </w:r>
      <w:r>
        <w:rPr>
          <w:rFonts w:hint="eastAsia" w:ascii="Calibri" w:hAnsi="Calibri" w:cs="Calibri"/>
          <w:szCs w:val="22"/>
          <w:vertAlign w:val="superscript"/>
        </w:rPr>
        <w:t>2</w:t>
      </w:r>
      <w:r>
        <w:rPr>
          <w:rFonts w:cs="仿宋_GB2312"/>
          <w:szCs w:val="22"/>
        </w:rPr>
        <w:t>+1747x+23158</w:t>
      </w:r>
    </w:p>
    <w:p>
      <w:pPr>
        <w:spacing w:line="360" w:lineRule="auto"/>
        <w:jc w:val="center"/>
        <w:rPr>
          <w:rFonts w:hint="eastAsia" w:cs="仿宋_GB2312"/>
          <w:szCs w:val="22"/>
        </w:rPr>
      </w:pPr>
      <w:r>
        <w:drawing>
          <wp:inline distT="0" distB="0" distL="0" distR="0">
            <wp:extent cx="5400675" cy="3515995"/>
            <wp:effectExtent l="0" t="0" r="9525" b="8255"/>
            <wp:docPr id="1493584734"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pPr>
        <w:pStyle w:val="8"/>
      </w:pPr>
      <w:r>
        <w:rPr>
          <w:rFonts w:hint="eastAsia"/>
        </w:rPr>
        <w:t>桓仁满族自治县机动车保有量预测函数曲线</w:t>
      </w:r>
    </w:p>
    <w:p>
      <w:pPr>
        <w:spacing w:line="360" w:lineRule="auto"/>
        <w:ind w:firstLine="560" w:firstLineChars="200"/>
        <w:rPr>
          <w:rFonts w:hint="eastAsia" w:cs="仿宋_GB2312"/>
          <w:szCs w:val="22"/>
        </w:rPr>
      </w:pPr>
      <w:r>
        <w:rPr>
          <w:rFonts w:hint="eastAsia" w:cs="仿宋_GB2312"/>
          <w:szCs w:val="22"/>
        </w:rPr>
        <w:t>计算得出2</w:t>
      </w:r>
      <w:r>
        <w:rPr>
          <w:rFonts w:cs="仿宋_GB2312"/>
          <w:szCs w:val="22"/>
        </w:rPr>
        <w:t>025</w:t>
      </w:r>
      <w:r>
        <w:rPr>
          <w:rFonts w:hint="eastAsia" w:cs="仿宋_GB2312"/>
          <w:szCs w:val="22"/>
        </w:rPr>
        <w:t>年机动车保有量</w:t>
      </w:r>
      <w:r>
        <w:rPr>
          <w:rFonts w:cs="仿宋_GB2312"/>
          <w:szCs w:val="22"/>
        </w:rPr>
        <w:t>62385</w:t>
      </w:r>
      <w:r>
        <w:rPr>
          <w:rFonts w:hint="eastAsia" w:cs="仿宋_GB2312"/>
          <w:szCs w:val="22"/>
        </w:rPr>
        <w:t>辆，2</w:t>
      </w:r>
      <w:r>
        <w:rPr>
          <w:rFonts w:cs="仿宋_GB2312"/>
          <w:szCs w:val="22"/>
        </w:rPr>
        <w:t>028</w:t>
      </w:r>
      <w:r>
        <w:rPr>
          <w:rFonts w:hint="eastAsia" w:cs="仿宋_GB2312"/>
          <w:szCs w:val="22"/>
        </w:rPr>
        <w:t>年机动车保有量</w:t>
      </w:r>
      <w:r>
        <w:rPr>
          <w:rFonts w:cs="仿宋_GB2312"/>
          <w:szCs w:val="22"/>
        </w:rPr>
        <w:t>68243</w:t>
      </w:r>
      <w:r>
        <w:rPr>
          <w:rFonts w:hint="eastAsia" w:cs="仿宋_GB2312"/>
          <w:szCs w:val="22"/>
        </w:rPr>
        <w:t>辆，2</w:t>
      </w:r>
      <w:r>
        <w:rPr>
          <w:rFonts w:cs="仿宋_GB2312"/>
          <w:szCs w:val="22"/>
        </w:rPr>
        <w:t>035</w:t>
      </w:r>
      <w:r>
        <w:rPr>
          <w:rFonts w:hint="eastAsia" w:cs="仿宋_GB2312"/>
          <w:szCs w:val="22"/>
        </w:rPr>
        <w:t>年机动车保有量</w:t>
      </w:r>
      <w:r>
        <w:rPr>
          <w:rFonts w:cs="仿宋_GB2312"/>
          <w:szCs w:val="22"/>
        </w:rPr>
        <w:t>80316</w:t>
      </w:r>
      <w:r>
        <w:rPr>
          <w:rFonts w:hint="eastAsia" w:cs="仿宋_GB2312"/>
          <w:szCs w:val="22"/>
        </w:rPr>
        <w:t>辆。</w:t>
      </w:r>
    </w:p>
    <w:p>
      <w:pPr>
        <w:pStyle w:val="7"/>
      </w:pPr>
      <w:r>
        <w:rPr>
          <w:rFonts w:hint="eastAsia"/>
        </w:rPr>
        <w:t>时间序列</w:t>
      </w:r>
      <w:r>
        <w:t>法预测</w:t>
      </w:r>
      <w:r>
        <w:rPr>
          <w:rFonts w:hint="eastAsia"/>
        </w:rPr>
        <w:t>机动车</w:t>
      </w:r>
      <w:r>
        <w:t>保有量</w:t>
      </w: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2137"/>
        <w:gridCol w:w="2075"/>
        <w:gridCol w:w="2075"/>
        <w:gridCol w:w="207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1278" w:type="pct"/>
            <w:shd w:val="clear" w:color="auto" w:fill="D9D9D9"/>
            <w:vAlign w:val="center"/>
          </w:tcPr>
          <w:p>
            <w:pPr>
              <w:spacing w:line="240" w:lineRule="auto"/>
              <w:jc w:val="center"/>
              <w:rPr>
                <w:rFonts w:hint="eastAsia"/>
                <w:b/>
                <w:sz w:val="19"/>
              </w:rPr>
            </w:pPr>
            <w:r>
              <w:rPr>
                <w:rFonts w:hint="eastAsia"/>
                <w:b/>
                <w:sz w:val="19"/>
              </w:rPr>
              <w:t>汽车保有量</w:t>
            </w:r>
          </w:p>
        </w:tc>
        <w:tc>
          <w:tcPr>
            <w:tcW w:w="1241" w:type="pct"/>
            <w:shd w:val="clear" w:color="auto" w:fill="D9D9D9"/>
            <w:vAlign w:val="center"/>
          </w:tcPr>
          <w:p>
            <w:pPr>
              <w:spacing w:line="240" w:lineRule="auto"/>
              <w:jc w:val="center"/>
              <w:rPr>
                <w:rFonts w:hint="eastAsia"/>
                <w:b/>
                <w:sz w:val="19"/>
              </w:rPr>
            </w:pPr>
            <w:r>
              <w:rPr>
                <w:rFonts w:hint="eastAsia"/>
                <w:b/>
                <w:sz w:val="19"/>
              </w:rPr>
              <w:t>2025</w:t>
            </w:r>
          </w:p>
        </w:tc>
        <w:tc>
          <w:tcPr>
            <w:tcW w:w="1241" w:type="pct"/>
            <w:shd w:val="clear" w:color="auto" w:fill="D9D9D9"/>
            <w:vAlign w:val="center"/>
          </w:tcPr>
          <w:p>
            <w:pPr>
              <w:spacing w:line="240" w:lineRule="auto"/>
              <w:jc w:val="center"/>
              <w:rPr>
                <w:rFonts w:hint="eastAsia"/>
                <w:b/>
                <w:sz w:val="19"/>
              </w:rPr>
            </w:pPr>
            <w:r>
              <w:rPr>
                <w:rFonts w:hint="eastAsia"/>
                <w:b/>
                <w:sz w:val="19"/>
              </w:rPr>
              <w:t>2028</w:t>
            </w:r>
          </w:p>
        </w:tc>
        <w:tc>
          <w:tcPr>
            <w:tcW w:w="1241" w:type="pct"/>
            <w:shd w:val="clear" w:color="auto" w:fill="D9D9D9"/>
            <w:vAlign w:val="center"/>
          </w:tcPr>
          <w:p>
            <w:pPr>
              <w:spacing w:line="240" w:lineRule="auto"/>
              <w:jc w:val="center"/>
              <w:rPr>
                <w:rFonts w:hint="eastAsia"/>
                <w:b/>
                <w:sz w:val="19"/>
              </w:rPr>
            </w:pPr>
            <w:r>
              <w:rPr>
                <w:rFonts w:hint="eastAsia"/>
                <w:b/>
                <w:sz w:val="19"/>
              </w:rPr>
              <w:t>2035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shd w:val="clear" w:color="auto" w:fill="auto"/>
            <w:vAlign w:val="center"/>
          </w:tcPr>
          <w:p>
            <w:pPr>
              <w:spacing w:line="240" w:lineRule="auto"/>
              <w:jc w:val="center"/>
              <w:rPr>
                <w:rFonts w:hint="eastAsia"/>
                <w:sz w:val="19"/>
              </w:rPr>
            </w:pPr>
            <w:r>
              <w:rPr>
                <w:rFonts w:hint="eastAsia"/>
                <w:sz w:val="19"/>
              </w:rPr>
              <w:t>线性函数</w:t>
            </w:r>
          </w:p>
        </w:tc>
        <w:tc>
          <w:tcPr>
            <w:tcW w:w="1241" w:type="pct"/>
            <w:shd w:val="clear" w:color="auto" w:fill="auto"/>
            <w:vAlign w:val="center"/>
          </w:tcPr>
          <w:p>
            <w:pPr>
              <w:spacing w:line="240" w:lineRule="auto"/>
              <w:jc w:val="center"/>
              <w:rPr>
                <w:rFonts w:hint="eastAsia"/>
                <w:sz w:val="19"/>
              </w:rPr>
            </w:pPr>
            <w:r>
              <w:rPr>
                <w:sz w:val="19"/>
              </w:rPr>
              <w:t>65950</w:t>
            </w:r>
          </w:p>
        </w:tc>
        <w:tc>
          <w:tcPr>
            <w:tcW w:w="1241" w:type="pct"/>
            <w:shd w:val="clear" w:color="auto" w:fill="auto"/>
            <w:vAlign w:val="center"/>
          </w:tcPr>
          <w:p>
            <w:pPr>
              <w:spacing w:line="240" w:lineRule="auto"/>
              <w:jc w:val="center"/>
              <w:rPr>
                <w:rFonts w:hint="eastAsia"/>
                <w:sz w:val="19"/>
              </w:rPr>
            </w:pPr>
            <w:r>
              <w:rPr>
                <w:sz w:val="19"/>
              </w:rPr>
              <w:t>74548</w:t>
            </w:r>
          </w:p>
        </w:tc>
        <w:tc>
          <w:tcPr>
            <w:tcW w:w="1241" w:type="pct"/>
            <w:shd w:val="clear" w:color="auto" w:fill="auto"/>
            <w:vAlign w:val="center"/>
          </w:tcPr>
          <w:p>
            <w:pPr>
              <w:spacing w:line="240" w:lineRule="auto"/>
              <w:jc w:val="center"/>
              <w:rPr>
                <w:rFonts w:hint="eastAsia"/>
                <w:sz w:val="19"/>
              </w:rPr>
            </w:pPr>
            <w:r>
              <w:rPr>
                <w:sz w:val="19"/>
              </w:rPr>
              <w:t>94610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shd w:val="clear" w:color="auto" w:fill="auto"/>
            <w:vAlign w:val="center"/>
          </w:tcPr>
          <w:p>
            <w:pPr>
              <w:spacing w:line="240" w:lineRule="auto"/>
              <w:jc w:val="center"/>
              <w:rPr>
                <w:rFonts w:hint="eastAsia"/>
                <w:sz w:val="19"/>
              </w:rPr>
            </w:pPr>
            <w:r>
              <w:rPr>
                <w:rFonts w:hint="eastAsia"/>
                <w:sz w:val="19"/>
              </w:rPr>
              <w:t>幂函数</w:t>
            </w:r>
          </w:p>
        </w:tc>
        <w:tc>
          <w:tcPr>
            <w:tcW w:w="1241" w:type="pct"/>
            <w:shd w:val="clear" w:color="auto" w:fill="auto"/>
            <w:vAlign w:val="center"/>
          </w:tcPr>
          <w:p>
            <w:pPr>
              <w:spacing w:line="240" w:lineRule="auto"/>
              <w:jc w:val="center"/>
              <w:rPr>
                <w:rFonts w:hint="eastAsia"/>
                <w:sz w:val="19"/>
              </w:rPr>
            </w:pPr>
            <w:r>
              <w:rPr>
                <w:sz w:val="19"/>
              </w:rPr>
              <w:t>57369</w:t>
            </w:r>
          </w:p>
        </w:tc>
        <w:tc>
          <w:tcPr>
            <w:tcW w:w="1241" w:type="pct"/>
            <w:shd w:val="clear" w:color="auto" w:fill="auto"/>
            <w:vAlign w:val="center"/>
          </w:tcPr>
          <w:p>
            <w:pPr>
              <w:spacing w:line="240" w:lineRule="auto"/>
              <w:jc w:val="center"/>
              <w:rPr>
                <w:rFonts w:hint="eastAsia"/>
                <w:sz w:val="19"/>
              </w:rPr>
            </w:pPr>
            <w:r>
              <w:rPr>
                <w:sz w:val="19"/>
              </w:rPr>
              <w:t>60145</w:t>
            </w:r>
          </w:p>
        </w:tc>
        <w:tc>
          <w:tcPr>
            <w:tcW w:w="1241" w:type="pct"/>
            <w:shd w:val="clear" w:color="auto" w:fill="auto"/>
            <w:vAlign w:val="center"/>
          </w:tcPr>
          <w:p>
            <w:pPr>
              <w:spacing w:line="240" w:lineRule="auto"/>
              <w:jc w:val="center"/>
              <w:rPr>
                <w:rFonts w:hint="eastAsia"/>
                <w:sz w:val="19"/>
              </w:rPr>
            </w:pPr>
            <w:r>
              <w:rPr>
                <w:sz w:val="19"/>
              </w:rPr>
              <w:t>65120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shd w:val="clear" w:color="auto" w:fill="auto"/>
            <w:vAlign w:val="center"/>
          </w:tcPr>
          <w:p>
            <w:pPr>
              <w:spacing w:line="240" w:lineRule="auto"/>
              <w:jc w:val="center"/>
              <w:rPr>
                <w:rFonts w:hint="eastAsia"/>
                <w:sz w:val="19"/>
              </w:rPr>
            </w:pPr>
            <w:r>
              <w:rPr>
                <w:rFonts w:hint="eastAsia"/>
                <w:sz w:val="19"/>
              </w:rPr>
              <w:t>二元函数</w:t>
            </w:r>
          </w:p>
        </w:tc>
        <w:tc>
          <w:tcPr>
            <w:tcW w:w="1241" w:type="pct"/>
            <w:shd w:val="clear" w:color="auto" w:fill="auto"/>
            <w:vAlign w:val="center"/>
          </w:tcPr>
          <w:p>
            <w:pPr>
              <w:spacing w:line="240" w:lineRule="auto"/>
              <w:jc w:val="center"/>
              <w:rPr>
                <w:rFonts w:hint="eastAsia"/>
                <w:sz w:val="19"/>
              </w:rPr>
            </w:pPr>
            <w:r>
              <w:rPr>
                <w:sz w:val="19"/>
              </w:rPr>
              <w:t>63835</w:t>
            </w:r>
          </w:p>
        </w:tc>
        <w:tc>
          <w:tcPr>
            <w:tcW w:w="1241" w:type="pct"/>
            <w:shd w:val="clear" w:color="auto" w:fill="auto"/>
            <w:vAlign w:val="center"/>
          </w:tcPr>
          <w:p>
            <w:pPr>
              <w:spacing w:line="240" w:lineRule="auto"/>
              <w:jc w:val="center"/>
              <w:rPr>
                <w:rFonts w:hint="eastAsia"/>
                <w:sz w:val="19"/>
              </w:rPr>
            </w:pPr>
            <w:r>
              <w:rPr>
                <w:sz w:val="19"/>
              </w:rPr>
              <w:t>70037</w:t>
            </w:r>
          </w:p>
        </w:tc>
        <w:tc>
          <w:tcPr>
            <w:tcW w:w="1241" w:type="pct"/>
            <w:shd w:val="clear" w:color="auto" w:fill="auto"/>
            <w:vAlign w:val="center"/>
          </w:tcPr>
          <w:p>
            <w:pPr>
              <w:spacing w:line="240" w:lineRule="auto"/>
              <w:jc w:val="center"/>
              <w:rPr>
                <w:rFonts w:hint="eastAsia"/>
                <w:sz w:val="19"/>
              </w:rPr>
            </w:pPr>
            <w:r>
              <w:rPr>
                <w:sz w:val="19"/>
              </w:rPr>
              <w:t>81218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shd w:val="clear" w:color="auto" w:fill="auto"/>
            <w:noWrap/>
            <w:vAlign w:val="center"/>
          </w:tcPr>
          <w:p>
            <w:pPr>
              <w:spacing w:line="240" w:lineRule="auto"/>
              <w:jc w:val="center"/>
              <w:rPr>
                <w:rFonts w:hint="eastAsia"/>
                <w:sz w:val="19"/>
              </w:rPr>
            </w:pPr>
            <w:r>
              <w:rPr>
                <w:rFonts w:hint="eastAsia"/>
                <w:sz w:val="19"/>
              </w:rPr>
              <w:t>取平均值结果</w:t>
            </w:r>
          </w:p>
        </w:tc>
        <w:tc>
          <w:tcPr>
            <w:tcW w:w="1241" w:type="pct"/>
            <w:shd w:val="clear" w:color="auto" w:fill="auto"/>
            <w:vAlign w:val="center"/>
          </w:tcPr>
          <w:p>
            <w:pPr>
              <w:spacing w:line="240" w:lineRule="auto"/>
              <w:jc w:val="center"/>
              <w:rPr>
                <w:rFonts w:hint="eastAsia"/>
                <w:sz w:val="19"/>
              </w:rPr>
            </w:pPr>
            <w:r>
              <w:rPr>
                <w:sz w:val="19"/>
              </w:rPr>
              <w:t>62385</w:t>
            </w:r>
          </w:p>
        </w:tc>
        <w:tc>
          <w:tcPr>
            <w:tcW w:w="1241" w:type="pct"/>
            <w:shd w:val="clear" w:color="auto" w:fill="auto"/>
            <w:vAlign w:val="center"/>
          </w:tcPr>
          <w:p>
            <w:pPr>
              <w:spacing w:line="240" w:lineRule="auto"/>
              <w:jc w:val="center"/>
              <w:rPr>
                <w:rFonts w:hint="eastAsia"/>
                <w:sz w:val="19"/>
              </w:rPr>
            </w:pPr>
            <w:r>
              <w:rPr>
                <w:sz w:val="19"/>
              </w:rPr>
              <w:t>68243</w:t>
            </w:r>
          </w:p>
        </w:tc>
        <w:tc>
          <w:tcPr>
            <w:tcW w:w="1241" w:type="pct"/>
            <w:shd w:val="clear" w:color="auto" w:fill="auto"/>
            <w:vAlign w:val="center"/>
          </w:tcPr>
          <w:p>
            <w:pPr>
              <w:spacing w:line="240" w:lineRule="auto"/>
              <w:jc w:val="center"/>
              <w:rPr>
                <w:rFonts w:hint="eastAsia"/>
                <w:sz w:val="19"/>
              </w:rPr>
            </w:pPr>
            <w:r>
              <w:rPr>
                <w:sz w:val="19"/>
              </w:rPr>
              <w:t>80316</w:t>
            </w:r>
          </w:p>
        </w:tc>
      </w:tr>
    </w:tbl>
    <w:p>
      <w:pPr>
        <w:pStyle w:val="47"/>
        <w:numPr>
          <w:ilvl w:val="0"/>
          <w:numId w:val="6"/>
        </w:numPr>
        <w:tabs>
          <w:tab w:val="left" w:pos="400"/>
        </w:tabs>
        <w:spacing w:line="360" w:lineRule="auto"/>
        <w:ind w:firstLineChars="0"/>
        <w:rPr>
          <w:rFonts w:hint="eastAsia"/>
          <w:szCs w:val="24"/>
        </w:rPr>
      </w:pPr>
      <w:r>
        <w:rPr>
          <w:szCs w:val="24"/>
        </w:rPr>
        <w:t>机动车保有量预测结果</w:t>
      </w:r>
    </w:p>
    <w:p>
      <w:pPr>
        <w:spacing w:line="360" w:lineRule="auto"/>
        <w:ind w:firstLine="560" w:firstLineChars="200"/>
        <w:rPr>
          <w:rFonts w:hint="eastAsia" w:cs="仿宋_GB2312"/>
          <w:szCs w:val="22"/>
        </w:rPr>
      </w:pPr>
      <w:r>
        <w:rPr>
          <w:rFonts w:hint="eastAsia" w:cs="仿宋_GB2312"/>
          <w:szCs w:val="22"/>
        </w:rPr>
        <w:t>根据以上两种方法，可以得到规划年的机动车保有量，预测2</w:t>
      </w:r>
      <w:r>
        <w:rPr>
          <w:rFonts w:cs="仿宋_GB2312"/>
          <w:szCs w:val="22"/>
        </w:rPr>
        <w:t>028</w:t>
      </w:r>
      <w:r>
        <w:rPr>
          <w:rFonts w:hint="eastAsia" w:cs="仿宋_GB2312"/>
          <w:szCs w:val="22"/>
        </w:rPr>
        <w:t>年机动车保有量达到</w:t>
      </w:r>
      <w:r>
        <w:rPr>
          <w:rFonts w:cs="仿宋_GB2312"/>
          <w:szCs w:val="22"/>
        </w:rPr>
        <w:t>64716</w:t>
      </w:r>
      <w:r>
        <w:rPr>
          <w:rFonts w:hint="eastAsia" w:cs="仿宋_GB2312"/>
          <w:szCs w:val="22"/>
        </w:rPr>
        <w:t>辆，2</w:t>
      </w:r>
      <w:r>
        <w:rPr>
          <w:rFonts w:cs="仿宋_GB2312"/>
          <w:szCs w:val="22"/>
        </w:rPr>
        <w:t>035</w:t>
      </w:r>
      <w:r>
        <w:rPr>
          <w:rFonts w:hint="eastAsia" w:cs="仿宋_GB2312"/>
          <w:szCs w:val="22"/>
        </w:rPr>
        <w:t>年机动车保有量达到</w:t>
      </w:r>
      <w:r>
        <w:rPr>
          <w:rFonts w:cs="仿宋_GB2312"/>
          <w:szCs w:val="22"/>
        </w:rPr>
        <w:t>74114</w:t>
      </w:r>
      <w:r>
        <w:rPr>
          <w:rFonts w:hint="eastAsia" w:cs="仿宋_GB2312"/>
          <w:szCs w:val="22"/>
        </w:rPr>
        <w:t>辆。</w:t>
      </w:r>
    </w:p>
    <w:p>
      <w:pPr>
        <w:pStyle w:val="7"/>
      </w:pPr>
      <w:r>
        <w:rPr>
          <w:rFonts w:hint="eastAsia"/>
        </w:rPr>
        <w:t>时间序列</w:t>
      </w:r>
      <w:r>
        <w:t>法预测汽车保有量</w:t>
      </w: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2137"/>
        <w:gridCol w:w="2077"/>
        <w:gridCol w:w="2075"/>
        <w:gridCol w:w="207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1278" w:type="pct"/>
            <w:shd w:val="clear" w:color="auto" w:fill="D9D9D9"/>
            <w:vAlign w:val="center"/>
          </w:tcPr>
          <w:p>
            <w:pPr>
              <w:spacing w:line="240" w:lineRule="auto"/>
              <w:jc w:val="center"/>
              <w:rPr>
                <w:rFonts w:hint="eastAsia"/>
                <w:b/>
                <w:sz w:val="19"/>
              </w:rPr>
            </w:pPr>
            <w:r>
              <w:rPr>
                <w:rFonts w:hint="eastAsia"/>
                <w:b/>
                <w:sz w:val="19"/>
              </w:rPr>
              <w:t>汽车保有量</w:t>
            </w:r>
          </w:p>
        </w:tc>
        <w:tc>
          <w:tcPr>
            <w:tcW w:w="1242" w:type="pct"/>
            <w:shd w:val="clear" w:color="auto" w:fill="D9D9D9"/>
            <w:vAlign w:val="center"/>
          </w:tcPr>
          <w:p>
            <w:pPr>
              <w:spacing w:line="240" w:lineRule="auto"/>
              <w:jc w:val="center"/>
              <w:rPr>
                <w:rFonts w:hint="eastAsia"/>
                <w:b/>
                <w:sz w:val="19"/>
              </w:rPr>
            </w:pPr>
            <w:r>
              <w:rPr>
                <w:rFonts w:hint="eastAsia"/>
                <w:b/>
                <w:sz w:val="19"/>
              </w:rPr>
              <w:t>2025</w:t>
            </w:r>
          </w:p>
        </w:tc>
        <w:tc>
          <w:tcPr>
            <w:tcW w:w="1241" w:type="pct"/>
            <w:shd w:val="clear" w:color="auto" w:fill="D9D9D9"/>
            <w:vAlign w:val="center"/>
          </w:tcPr>
          <w:p>
            <w:pPr>
              <w:spacing w:line="240" w:lineRule="auto"/>
              <w:jc w:val="center"/>
              <w:rPr>
                <w:rFonts w:hint="eastAsia"/>
                <w:b/>
                <w:sz w:val="19"/>
              </w:rPr>
            </w:pPr>
            <w:r>
              <w:rPr>
                <w:rFonts w:hint="eastAsia"/>
                <w:b/>
                <w:sz w:val="19"/>
              </w:rPr>
              <w:t>2028</w:t>
            </w:r>
          </w:p>
        </w:tc>
        <w:tc>
          <w:tcPr>
            <w:tcW w:w="1239" w:type="pct"/>
            <w:shd w:val="clear" w:color="auto" w:fill="D9D9D9"/>
            <w:vAlign w:val="center"/>
          </w:tcPr>
          <w:p>
            <w:pPr>
              <w:spacing w:line="240" w:lineRule="auto"/>
              <w:jc w:val="center"/>
              <w:rPr>
                <w:rFonts w:hint="eastAsia"/>
                <w:b/>
                <w:sz w:val="19"/>
              </w:rPr>
            </w:pPr>
            <w:r>
              <w:rPr>
                <w:rFonts w:hint="eastAsia"/>
                <w:b/>
                <w:sz w:val="19"/>
              </w:rPr>
              <w:t>2035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shd w:val="clear" w:color="auto" w:fill="auto"/>
            <w:vAlign w:val="center"/>
          </w:tcPr>
          <w:p>
            <w:pPr>
              <w:spacing w:line="240" w:lineRule="auto"/>
              <w:jc w:val="center"/>
              <w:rPr>
                <w:rFonts w:hint="eastAsia"/>
                <w:sz w:val="19"/>
              </w:rPr>
            </w:pPr>
            <w:r>
              <w:rPr>
                <w:rFonts w:hint="eastAsia"/>
                <w:sz w:val="19"/>
              </w:rPr>
              <w:t>弹性系数法</w:t>
            </w:r>
          </w:p>
        </w:tc>
        <w:tc>
          <w:tcPr>
            <w:tcW w:w="1242" w:type="pct"/>
            <w:shd w:val="clear" w:color="auto" w:fill="auto"/>
            <w:vAlign w:val="center"/>
          </w:tcPr>
          <w:p>
            <w:pPr>
              <w:spacing w:line="240" w:lineRule="auto"/>
              <w:jc w:val="center"/>
              <w:rPr>
                <w:rFonts w:hint="eastAsia"/>
                <w:sz w:val="19"/>
              </w:rPr>
            </w:pPr>
            <w:r>
              <w:rPr>
                <w:rFonts w:hint="eastAsia"/>
                <w:sz w:val="19"/>
              </w:rPr>
              <w:t>59526</w:t>
            </w:r>
            <w:r>
              <w:rPr>
                <w:sz w:val="19"/>
              </w:rPr>
              <w:t xml:space="preserve"> </w:t>
            </w:r>
          </w:p>
        </w:tc>
        <w:tc>
          <w:tcPr>
            <w:tcW w:w="1241" w:type="pct"/>
            <w:shd w:val="clear" w:color="auto" w:fill="auto"/>
            <w:vAlign w:val="center"/>
          </w:tcPr>
          <w:p>
            <w:pPr>
              <w:spacing w:line="240" w:lineRule="auto"/>
              <w:jc w:val="center"/>
              <w:rPr>
                <w:rFonts w:hint="eastAsia"/>
                <w:sz w:val="19"/>
              </w:rPr>
            </w:pPr>
            <w:r>
              <w:rPr>
                <w:sz w:val="19"/>
              </w:rPr>
              <w:t xml:space="preserve">61190 </w:t>
            </w:r>
          </w:p>
        </w:tc>
        <w:tc>
          <w:tcPr>
            <w:tcW w:w="1239" w:type="pct"/>
            <w:shd w:val="clear" w:color="auto" w:fill="auto"/>
            <w:vAlign w:val="center"/>
          </w:tcPr>
          <w:p>
            <w:pPr>
              <w:spacing w:line="240" w:lineRule="auto"/>
              <w:jc w:val="center"/>
              <w:rPr>
                <w:rFonts w:hint="eastAsia"/>
                <w:sz w:val="19"/>
              </w:rPr>
            </w:pPr>
            <w:r>
              <w:rPr>
                <w:sz w:val="19"/>
              </w:rPr>
              <w:t xml:space="preserve">67911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shd w:val="clear" w:color="auto" w:fill="auto"/>
            <w:vAlign w:val="center"/>
          </w:tcPr>
          <w:p>
            <w:pPr>
              <w:spacing w:line="240" w:lineRule="auto"/>
              <w:jc w:val="center"/>
              <w:rPr>
                <w:rFonts w:hint="eastAsia"/>
                <w:sz w:val="19"/>
              </w:rPr>
            </w:pPr>
            <w:r>
              <w:rPr>
                <w:rFonts w:hint="eastAsia"/>
                <w:sz w:val="19"/>
              </w:rPr>
              <w:t>时间序列法</w:t>
            </w:r>
          </w:p>
        </w:tc>
        <w:tc>
          <w:tcPr>
            <w:tcW w:w="1242" w:type="pct"/>
            <w:shd w:val="clear" w:color="auto" w:fill="auto"/>
            <w:vAlign w:val="center"/>
          </w:tcPr>
          <w:p>
            <w:pPr>
              <w:spacing w:line="240" w:lineRule="auto"/>
              <w:jc w:val="center"/>
              <w:rPr>
                <w:rFonts w:hint="eastAsia"/>
                <w:sz w:val="19"/>
              </w:rPr>
            </w:pPr>
            <w:r>
              <w:rPr>
                <w:rFonts w:hint="eastAsia"/>
                <w:sz w:val="19"/>
              </w:rPr>
              <w:t xml:space="preserve">62385 </w:t>
            </w:r>
          </w:p>
        </w:tc>
        <w:tc>
          <w:tcPr>
            <w:tcW w:w="1241" w:type="pct"/>
            <w:shd w:val="clear" w:color="auto" w:fill="auto"/>
            <w:vAlign w:val="center"/>
          </w:tcPr>
          <w:p>
            <w:pPr>
              <w:spacing w:line="240" w:lineRule="auto"/>
              <w:jc w:val="center"/>
              <w:rPr>
                <w:rFonts w:hint="eastAsia"/>
                <w:sz w:val="19"/>
              </w:rPr>
            </w:pPr>
            <w:r>
              <w:rPr>
                <w:rFonts w:hint="eastAsia"/>
                <w:sz w:val="19"/>
              </w:rPr>
              <w:t xml:space="preserve">68243 </w:t>
            </w:r>
          </w:p>
        </w:tc>
        <w:tc>
          <w:tcPr>
            <w:tcW w:w="1239" w:type="pct"/>
            <w:shd w:val="clear" w:color="auto" w:fill="auto"/>
            <w:vAlign w:val="center"/>
          </w:tcPr>
          <w:p>
            <w:pPr>
              <w:spacing w:line="240" w:lineRule="auto"/>
              <w:jc w:val="center"/>
              <w:rPr>
                <w:rFonts w:hint="eastAsia"/>
                <w:sz w:val="19"/>
              </w:rPr>
            </w:pPr>
            <w:r>
              <w:rPr>
                <w:rFonts w:hint="eastAsia"/>
                <w:sz w:val="19"/>
              </w:rPr>
              <w:t xml:space="preserve">80316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shd w:val="clear" w:color="auto" w:fill="auto"/>
            <w:noWrap/>
            <w:vAlign w:val="center"/>
          </w:tcPr>
          <w:p>
            <w:pPr>
              <w:spacing w:line="240" w:lineRule="auto"/>
              <w:jc w:val="center"/>
              <w:rPr>
                <w:rFonts w:hint="eastAsia"/>
                <w:sz w:val="19"/>
              </w:rPr>
            </w:pPr>
            <w:r>
              <w:rPr>
                <w:rFonts w:hint="eastAsia"/>
                <w:sz w:val="19"/>
              </w:rPr>
              <w:t>取平均值结果</w:t>
            </w:r>
          </w:p>
        </w:tc>
        <w:tc>
          <w:tcPr>
            <w:tcW w:w="1242" w:type="pct"/>
            <w:shd w:val="clear" w:color="auto" w:fill="auto"/>
            <w:vAlign w:val="center"/>
          </w:tcPr>
          <w:p>
            <w:pPr>
              <w:spacing w:line="240" w:lineRule="auto"/>
              <w:jc w:val="center"/>
              <w:rPr>
                <w:rFonts w:hint="eastAsia"/>
                <w:sz w:val="19"/>
              </w:rPr>
            </w:pPr>
            <w:r>
              <w:rPr>
                <w:rFonts w:hint="eastAsia"/>
                <w:sz w:val="19"/>
              </w:rPr>
              <w:t>60956</w:t>
            </w:r>
          </w:p>
        </w:tc>
        <w:tc>
          <w:tcPr>
            <w:tcW w:w="1241" w:type="pct"/>
            <w:shd w:val="clear" w:color="auto" w:fill="auto"/>
            <w:vAlign w:val="center"/>
          </w:tcPr>
          <w:p>
            <w:pPr>
              <w:spacing w:line="240" w:lineRule="auto"/>
              <w:jc w:val="center"/>
              <w:rPr>
                <w:rFonts w:hint="eastAsia"/>
                <w:sz w:val="19"/>
              </w:rPr>
            </w:pPr>
            <w:r>
              <w:rPr>
                <w:rFonts w:hint="eastAsia"/>
                <w:sz w:val="19"/>
              </w:rPr>
              <w:t xml:space="preserve">64716 </w:t>
            </w:r>
          </w:p>
        </w:tc>
        <w:tc>
          <w:tcPr>
            <w:tcW w:w="1239" w:type="pct"/>
            <w:shd w:val="clear" w:color="auto" w:fill="auto"/>
            <w:vAlign w:val="center"/>
          </w:tcPr>
          <w:p>
            <w:pPr>
              <w:spacing w:line="240" w:lineRule="auto"/>
              <w:jc w:val="center"/>
              <w:rPr>
                <w:rFonts w:hint="eastAsia"/>
                <w:sz w:val="19"/>
              </w:rPr>
            </w:pPr>
            <w:r>
              <w:rPr>
                <w:rFonts w:hint="eastAsia"/>
                <w:sz w:val="19"/>
              </w:rPr>
              <w:t xml:space="preserve">74114 </w:t>
            </w:r>
          </w:p>
        </w:tc>
      </w:tr>
    </w:tbl>
    <w:p>
      <w:pPr>
        <w:pStyle w:val="4"/>
      </w:pPr>
      <w:r>
        <w:rPr>
          <w:rFonts w:hint="eastAsia"/>
        </w:rPr>
        <w:t>电动汽车保有量预测</w:t>
      </w:r>
    </w:p>
    <w:p>
      <w:pPr>
        <w:spacing w:line="360" w:lineRule="auto"/>
        <w:ind w:firstLine="560" w:firstLineChars="200"/>
        <w:rPr>
          <w:rFonts w:hint="eastAsia" w:cs="仿宋_GB2312"/>
          <w:szCs w:val="22"/>
        </w:rPr>
      </w:pPr>
      <w:bookmarkStart w:id="60" w:name="_Toc94186586"/>
      <w:r>
        <w:rPr>
          <w:rFonts w:hint="eastAsia" w:cs="仿宋_GB2312"/>
          <w:szCs w:val="22"/>
        </w:rPr>
        <w:t>本次规划采用电动化率法预测电动汽车的保有量，主要是将汽车分为私家车、环卫车、出租车、物流车、网约车、公务车等类型，根据各类型汽车电动化率，逐年预测各类型电动汽车保有量：</w:t>
      </w:r>
    </w:p>
    <w:p>
      <w:pPr>
        <w:spacing w:line="360" w:lineRule="auto"/>
        <w:ind w:firstLine="560" w:firstLineChars="200"/>
        <w:rPr>
          <w:rFonts w:hint="eastAsia" w:cs="仿宋_GB2312"/>
          <w:szCs w:val="22"/>
        </w:rPr>
      </w:pPr>
      <m:oMathPara>
        <m:oMath>
          <m:sSub>
            <m:sSubPr>
              <m:ctrlPr>
                <w:rPr>
                  <w:rFonts w:ascii="Cambria Math" w:hAnsi="Cambria Math" w:cs="仿宋_GB2312"/>
                  <w:szCs w:val="22"/>
                </w:rPr>
              </m:ctrlPr>
            </m:sSubPr>
            <m:e>
              <m:r>
                <m:rPr/>
                <w:rPr>
                  <w:rFonts w:ascii="Cambria Math" w:hAnsi="Cambria Math" w:cs="仿宋_GB2312"/>
                  <w:szCs w:val="22"/>
                </w:rPr>
                <m:t>N</m:t>
              </m:r>
              <m:ctrlPr>
                <w:rPr>
                  <w:rFonts w:ascii="Cambria Math" w:hAnsi="Cambria Math" w:cs="仿宋_GB2312"/>
                  <w:szCs w:val="22"/>
                </w:rPr>
              </m:ctrlPr>
            </m:e>
            <m:sub>
              <m:r>
                <m:rPr/>
                <w:rPr>
                  <w:rFonts w:ascii="Cambria Math" w:hAnsi="Cambria Math" w:cs="仿宋_GB2312"/>
                  <w:szCs w:val="22"/>
                </w:rPr>
                <m:t>it</m:t>
              </m:r>
              <m:ctrlPr>
                <w:rPr>
                  <w:rFonts w:ascii="Cambria Math" w:hAnsi="Cambria Math" w:cs="仿宋_GB2312"/>
                  <w:szCs w:val="22"/>
                </w:rPr>
              </m:ctrlPr>
            </m:sub>
          </m:sSub>
          <m:r>
            <m:rPr>
              <m:sty m:val="p"/>
            </m:rPr>
            <w:rPr>
              <w:rFonts w:ascii="Cambria Math" w:hAnsi="Cambria Math" w:cs="仿宋_GB2312"/>
              <w:szCs w:val="22"/>
            </w:rPr>
            <m:t>=</m:t>
          </m:r>
          <m:sSub>
            <m:sSubPr>
              <m:ctrlPr>
                <w:rPr>
                  <w:rFonts w:ascii="Cambria Math" w:hAnsi="Cambria Math" w:cs="仿宋_GB2312"/>
                  <w:szCs w:val="22"/>
                </w:rPr>
              </m:ctrlPr>
            </m:sSubPr>
            <m:e>
              <m:r>
                <m:rPr/>
                <w:rPr>
                  <w:rFonts w:ascii="Cambria Math" w:hAnsi="Cambria Math" w:cs="仿宋_GB2312"/>
                  <w:szCs w:val="22"/>
                </w:rPr>
                <m:t>n</m:t>
              </m:r>
              <m:ctrlPr>
                <w:rPr>
                  <w:rFonts w:ascii="Cambria Math" w:hAnsi="Cambria Math" w:cs="仿宋_GB2312"/>
                  <w:szCs w:val="22"/>
                </w:rPr>
              </m:ctrlPr>
            </m:e>
            <m:sub>
              <m:r>
                <m:rPr/>
                <w:rPr>
                  <w:rFonts w:ascii="Cambria Math" w:hAnsi="Cambria Math" w:cs="仿宋_GB2312"/>
                  <w:szCs w:val="22"/>
                </w:rPr>
                <m:t>it</m:t>
              </m:r>
              <m:ctrlPr>
                <w:rPr>
                  <w:rFonts w:ascii="Cambria Math" w:hAnsi="Cambria Math" w:cs="仿宋_GB2312"/>
                  <w:szCs w:val="22"/>
                </w:rPr>
              </m:ctrlPr>
            </m:sub>
          </m:sSub>
          <m:r>
            <m:rPr>
              <m:sty m:val="p"/>
            </m:rPr>
            <w:rPr>
              <w:rFonts w:ascii="Cambria Math" w:hAnsi="Cambria Math" w:cs="仿宋_GB2312"/>
              <w:szCs w:val="22"/>
            </w:rPr>
            <m:t>×</m:t>
          </m:r>
          <m:sSub>
            <m:sSubPr>
              <m:ctrlPr>
                <w:rPr>
                  <w:rFonts w:ascii="Cambria Math" w:hAnsi="Cambria Math" w:cs="仿宋_GB2312"/>
                  <w:szCs w:val="22"/>
                </w:rPr>
              </m:ctrlPr>
            </m:sSubPr>
            <m:e>
              <m:r>
                <m:rPr/>
                <w:rPr>
                  <w:rFonts w:ascii="Cambria Math" w:hAnsi="Cambria Math" w:cs="仿宋_GB2312"/>
                  <w:szCs w:val="22"/>
                </w:rPr>
                <m:t>a</m:t>
              </m:r>
              <m:ctrlPr>
                <w:rPr>
                  <w:rFonts w:ascii="Cambria Math" w:hAnsi="Cambria Math" w:cs="仿宋_GB2312"/>
                  <w:szCs w:val="22"/>
                </w:rPr>
              </m:ctrlPr>
            </m:e>
            <m:sub>
              <m:r>
                <m:rPr/>
                <w:rPr>
                  <w:rFonts w:ascii="Cambria Math" w:hAnsi="Cambria Math" w:cs="仿宋_GB2312"/>
                  <w:szCs w:val="22"/>
                </w:rPr>
                <m:t>it</m:t>
              </m:r>
              <m:ctrlPr>
                <w:rPr>
                  <w:rFonts w:ascii="Cambria Math" w:hAnsi="Cambria Math" w:cs="仿宋_GB2312"/>
                  <w:szCs w:val="22"/>
                </w:rPr>
              </m:ctrlPr>
            </m:sub>
          </m:sSub>
        </m:oMath>
      </m:oMathPara>
    </w:p>
    <w:p>
      <w:pPr>
        <w:spacing w:line="360" w:lineRule="auto"/>
        <w:ind w:firstLine="560" w:firstLineChars="200"/>
        <w:rPr>
          <w:rFonts w:hint="eastAsia" w:cs="仿宋_GB2312"/>
          <w:szCs w:val="22"/>
        </w:rPr>
      </w:pPr>
      <w:r>
        <w:rPr>
          <w:rFonts w:hint="eastAsia" w:cs="仿宋_GB2312"/>
          <w:szCs w:val="22"/>
        </w:rPr>
        <w:t>式中：</w:t>
      </w:r>
    </w:p>
    <w:p>
      <w:pPr>
        <w:spacing w:line="360" w:lineRule="auto"/>
        <w:ind w:firstLine="560" w:firstLineChars="200"/>
        <w:rPr>
          <w:rFonts w:hint="eastAsia" w:cs="仿宋_GB2312"/>
          <w:szCs w:val="22"/>
        </w:rPr>
      </w:pPr>
      <m:oMath>
        <m:sSub>
          <m:sSubPr>
            <m:ctrlPr>
              <w:rPr>
                <w:rFonts w:ascii="Cambria Math" w:hAnsi="Cambria Math" w:cs="仿宋_GB2312"/>
                <w:szCs w:val="22"/>
              </w:rPr>
            </m:ctrlPr>
          </m:sSubPr>
          <m:e>
            <m:r>
              <m:rPr/>
              <w:rPr>
                <w:rFonts w:ascii="Cambria Math" w:hAnsi="Cambria Math" w:cs="仿宋_GB2312"/>
                <w:szCs w:val="22"/>
              </w:rPr>
              <m:t>N</m:t>
            </m:r>
            <m:ctrlPr>
              <w:rPr>
                <w:rFonts w:ascii="Cambria Math" w:hAnsi="Cambria Math" w:cs="仿宋_GB2312"/>
                <w:szCs w:val="22"/>
              </w:rPr>
            </m:ctrlPr>
          </m:e>
          <m:sub>
            <m:r>
              <m:rPr/>
              <w:rPr>
                <w:rFonts w:ascii="Cambria Math" w:hAnsi="Cambria Math" w:cs="仿宋_GB2312"/>
                <w:szCs w:val="22"/>
              </w:rPr>
              <m:t>it</m:t>
            </m:r>
            <m:ctrlPr>
              <w:rPr>
                <w:rFonts w:ascii="Cambria Math" w:hAnsi="Cambria Math" w:cs="仿宋_GB2312"/>
                <w:szCs w:val="22"/>
              </w:rPr>
            </m:ctrlPr>
          </m:sub>
        </m:sSub>
      </m:oMath>
      <w:r>
        <w:rPr>
          <w:rFonts w:cs="仿宋_GB2312"/>
          <w:szCs w:val="22"/>
        </w:rPr>
        <w:t>—t年i类型电动汽车保有量；</w:t>
      </w:r>
    </w:p>
    <w:p>
      <w:pPr>
        <w:spacing w:line="360" w:lineRule="auto"/>
        <w:ind w:firstLine="560" w:firstLineChars="200"/>
        <w:rPr>
          <w:rFonts w:hint="eastAsia" w:cs="仿宋_GB2312"/>
          <w:szCs w:val="22"/>
        </w:rPr>
      </w:pPr>
      <m:oMath>
        <m:sSub>
          <m:sSubPr>
            <m:ctrlPr>
              <w:rPr>
                <w:rFonts w:ascii="Cambria Math" w:hAnsi="Cambria Math" w:cs="仿宋_GB2312"/>
                <w:szCs w:val="22"/>
              </w:rPr>
            </m:ctrlPr>
          </m:sSubPr>
          <m:e>
            <m:r>
              <m:rPr/>
              <w:rPr>
                <w:rFonts w:ascii="Cambria Math" w:hAnsi="Cambria Math" w:cs="仿宋_GB2312"/>
                <w:szCs w:val="22"/>
              </w:rPr>
              <m:t>n</m:t>
            </m:r>
            <m:ctrlPr>
              <w:rPr>
                <w:rFonts w:ascii="Cambria Math" w:hAnsi="Cambria Math" w:cs="仿宋_GB2312"/>
                <w:szCs w:val="22"/>
              </w:rPr>
            </m:ctrlPr>
          </m:e>
          <m:sub>
            <m:r>
              <m:rPr/>
              <w:rPr>
                <w:rFonts w:ascii="Cambria Math" w:hAnsi="Cambria Math" w:cs="仿宋_GB2312"/>
                <w:szCs w:val="22"/>
              </w:rPr>
              <m:t>it</m:t>
            </m:r>
            <m:ctrlPr>
              <w:rPr>
                <w:rFonts w:ascii="Cambria Math" w:hAnsi="Cambria Math" w:cs="仿宋_GB2312"/>
                <w:szCs w:val="22"/>
              </w:rPr>
            </m:ctrlPr>
          </m:sub>
        </m:sSub>
      </m:oMath>
      <w:r>
        <w:rPr>
          <w:rFonts w:cs="仿宋_GB2312"/>
          <w:szCs w:val="22"/>
        </w:rPr>
        <w:t>—t年i类型汽车保有量；</w:t>
      </w:r>
    </w:p>
    <w:p>
      <w:pPr>
        <w:spacing w:line="360" w:lineRule="auto"/>
        <w:ind w:firstLine="560" w:firstLineChars="200"/>
        <w:rPr>
          <w:rFonts w:hint="eastAsia" w:cs="仿宋_GB2312"/>
          <w:szCs w:val="22"/>
        </w:rPr>
      </w:pPr>
      <m:oMath>
        <m:sSub>
          <m:sSubPr>
            <m:ctrlPr>
              <w:rPr>
                <w:rFonts w:ascii="Cambria Math" w:hAnsi="Cambria Math" w:cs="仿宋_GB2312"/>
                <w:szCs w:val="22"/>
              </w:rPr>
            </m:ctrlPr>
          </m:sSubPr>
          <m:e>
            <m:r>
              <m:rPr/>
              <w:rPr>
                <w:rFonts w:ascii="Cambria Math" w:hAnsi="Cambria Math" w:cs="仿宋_GB2312"/>
                <w:szCs w:val="22"/>
              </w:rPr>
              <m:t>a</m:t>
            </m:r>
            <m:ctrlPr>
              <w:rPr>
                <w:rFonts w:ascii="Cambria Math" w:hAnsi="Cambria Math" w:cs="仿宋_GB2312"/>
                <w:szCs w:val="22"/>
              </w:rPr>
            </m:ctrlPr>
          </m:e>
          <m:sub>
            <m:r>
              <m:rPr/>
              <w:rPr>
                <w:rFonts w:ascii="Cambria Math" w:hAnsi="Cambria Math" w:cs="仿宋_GB2312"/>
                <w:szCs w:val="22"/>
              </w:rPr>
              <m:t>it</m:t>
            </m:r>
            <m:ctrlPr>
              <w:rPr>
                <w:rFonts w:ascii="Cambria Math" w:hAnsi="Cambria Math" w:cs="仿宋_GB2312"/>
                <w:szCs w:val="22"/>
              </w:rPr>
            </m:ctrlPr>
          </m:sub>
        </m:sSub>
      </m:oMath>
      <w:r>
        <w:rPr>
          <w:rFonts w:cs="仿宋_GB2312"/>
          <w:szCs w:val="22"/>
        </w:rPr>
        <w:t>—t年i类型汽车电动化率；</w:t>
      </w:r>
    </w:p>
    <w:p>
      <w:pPr>
        <w:spacing w:line="360" w:lineRule="auto"/>
        <w:ind w:firstLine="560" w:firstLineChars="200"/>
        <w:rPr>
          <w:rFonts w:hint="eastAsia" w:cs="仿宋_GB2312"/>
          <w:szCs w:val="22"/>
        </w:rPr>
      </w:pPr>
      <w:r>
        <w:rPr>
          <w:rFonts w:cs="仿宋_GB2312"/>
          <w:szCs w:val="22"/>
        </w:rPr>
        <w:t>t—规划年份；</w:t>
      </w:r>
    </w:p>
    <w:p>
      <w:pPr>
        <w:spacing w:line="360" w:lineRule="auto"/>
        <w:ind w:firstLine="560" w:firstLineChars="200"/>
        <w:rPr>
          <w:rFonts w:hint="eastAsia" w:cs="仿宋_GB2312"/>
          <w:szCs w:val="22"/>
        </w:rPr>
      </w:pPr>
      <w:r>
        <w:rPr>
          <w:rFonts w:cs="仿宋_GB2312"/>
          <w:szCs w:val="22"/>
        </w:rPr>
        <w:t>i—汽车类型。</w:t>
      </w:r>
    </w:p>
    <w:p>
      <w:pPr>
        <w:spacing w:line="360" w:lineRule="auto"/>
        <w:ind w:firstLine="560" w:firstLineChars="200"/>
        <w:rPr>
          <w:rFonts w:hint="eastAsia" w:cs="仿宋_GB2312"/>
          <w:szCs w:val="22"/>
        </w:rPr>
      </w:pPr>
      <w:r>
        <w:rPr>
          <w:rFonts w:hint="eastAsia" w:cs="仿宋_GB2312"/>
          <w:szCs w:val="22"/>
        </w:rPr>
        <w:t>根据国家新能源汽车产业发展规划，</w:t>
      </w:r>
      <w:r>
        <w:rPr>
          <w:rFonts w:cs="仿宋_GB2312"/>
          <w:szCs w:val="22"/>
        </w:rPr>
        <w:t>2025</w:t>
      </w:r>
      <w:r>
        <w:rPr>
          <w:rFonts w:hint="eastAsia" w:cs="仿宋_GB2312"/>
          <w:szCs w:val="22"/>
        </w:rPr>
        <w:t>年，新能源汽车新车销售量达到汽车新车销售总量的</w:t>
      </w:r>
      <w:r>
        <w:rPr>
          <w:rFonts w:cs="仿宋_GB2312"/>
          <w:szCs w:val="22"/>
        </w:rPr>
        <w:t>20%</w:t>
      </w:r>
      <w:r>
        <w:rPr>
          <w:rFonts w:hint="eastAsia" w:cs="仿宋_GB2312"/>
          <w:szCs w:val="22"/>
        </w:rPr>
        <w:t>左右，至</w:t>
      </w:r>
      <w:r>
        <w:rPr>
          <w:rFonts w:cs="仿宋_GB2312"/>
          <w:szCs w:val="22"/>
        </w:rPr>
        <w:t>2035</w:t>
      </w:r>
      <w:r>
        <w:rPr>
          <w:rFonts w:hint="eastAsia" w:cs="仿宋_GB2312"/>
          <w:szCs w:val="22"/>
        </w:rPr>
        <w:t>年，纯电动汽车成为新销售车辆的主流。结合桓仁满族自治县历史年电动汽车销售总量占比，预测逐年电动汽车增量。</w:t>
      </w:r>
    </w:p>
    <w:p>
      <w:pPr>
        <w:pStyle w:val="7"/>
      </w:pPr>
      <w:r>
        <w:rPr>
          <w:rFonts w:hint="eastAsia"/>
        </w:rPr>
        <w:t>桓仁满族自治县电动汽车增量占比预测</w:t>
      </w: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2146"/>
        <w:gridCol w:w="2440"/>
        <w:gridCol w:w="1664"/>
        <w:gridCol w:w="214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1278" w:type="pct"/>
            <w:shd w:val="clear" w:color="auto" w:fill="D9D9D9"/>
            <w:noWrap/>
            <w:tcMar>
              <w:top w:w="30" w:type="dxa"/>
              <w:left w:w="45" w:type="dxa"/>
              <w:bottom w:w="30" w:type="dxa"/>
              <w:right w:w="45" w:type="dxa"/>
            </w:tcMar>
            <w:vAlign w:val="center"/>
          </w:tcPr>
          <w:p>
            <w:pPr>
              <w:spacing w:line="240" w:lineRule="auto"/>
              <w:jc w:val="center"/>
              <w:rPr>
                <w:rFonts w:hint="eastAsia"/>
                <w:b/>
                <w:sz w:val="19"/>
              </w:rPr>
            </w:pPr>
            <w:r>
              <w:rPr>
                <w:b/>
                <w:sz w:val="19"/>
              </w:rPr>
              <w:t>年份</w:t>
            </w:r>
          </w:p>
        </w:tc>
        <w:tc>
          <w:tcPr>
            <w:tcW w:w="1453" w:type="pct"/>
            <w:shd w:val="clear" w:color="auto" w:fill="D9D9D9"/>
            <w:noWrap/>
            <w:tcMar>
              <w:top w:w="30" w:type="dxa"/>
              <w:left w:w="45" w:type="dxa"/>
              <w:bottom w:w="30" w:type="dxa"/>
              <w:right w:w="45" w:type="dxa"/>
            </w:tcMar>
            <w:vAlign w:val="center"/>
          </w:tcPr>
          <w:p>
            <w:pPr>
              <w:spacing w:line="240" w:lineRule="auto"/>
              <w:jc w:val="center"/>
              <w:rPr>
                <w:rFonts w:hint="eastAsia"/>
                <w:b/>
                <w:sz w:val="19"/>
              </w:rPr>
            </w:pPr>
            <w:r>
              <w:rPr>
                <w:b/>
                <w:sz w:val="19"/>
              </w:rPr>
              <w:t>电动汽车增量占比</w:t>
            </w:r>
          </w:p>
        </w:tc>
        <w:tc>
          <w:tcPr>
            <w:tcW w:w="991" w:type="pct"/>
            <w:shd w:val="clear" w:color="auto" w:fill="D9D9D9"/>
            <w:vAlign w:val="center"/>
          </w:tcPr>
          <w:p>
            <w:pPr>
              <w:spacing w:line="240" w:lineRule="auto"/>
              <w:jc w:val="center"/>
              <w:rPr>
                <w:rFonts w:hint="eastAsia"/>
                <w:b/>
                <w:sz w:val="19"/>
              </w:rPr>
            </w:pPr>
            <w:r>
              <w:rPr>
                <w:b/>
                <w:sz w:val="19"/>
              </w:rPr>
              <w:t>汽车增量</w:t>
            </w:r>
          </w:p>
        </w:tc>
        <w:tc>
          <w:tcPr>
            <w:tcW w:w="1278" w:type="pct"/>
            <w:shd w:val="clear" w:color="auto" w:fill="D9D9D9"/>
            <w:noWrap/>
            <w:tcMar>
              <w:top w:w="30" w:type="dxa"/>
              <w:left w:w="45" w:type="dxa"/>
              <w:bottom w:w="30" w:type="dxa"/>
              <w:right w:w="45" w:type="dxa"/>
            </w:tcMar>
            <w:vAlign w:val="center"/>
          </w:tcPr>
          <w:p>
            <w:pPr>
              <w:spacing w:line="240" w:lineRule="auto"/>
              <w:jc w:val="center"/>
              <w:rPr>
                <w:rFonts w:hint="eastAsia"/>
                <w:b/>
                <w:sz w:val="19"/>
              </w:rPr>
            </w:pPr>
            <w:r>
              <w:rPr>
                <w:b/>
                <w:sz w:val="19"/>
              </w:rPr>
              <w:t>电动汽车增量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noWrap/>
            <w:tcMar>
              <w:top w:w="30" w:type="dxa"/>
              <w:left w:w="45" w:type="dxa"/>
              <w:bottom w:w="30" w:type="dxa"/>
              <w:right w:w="45" w:type="dxa"/>
            </w:tcMar>
            <w:vAlign w:val="center"/>
          </w:tcPr>
          <w:p>
            <w:pPr>
              <w:spacing w:line="240" w:lineRule="auto"/>
              <w:jc w:val="center"/>
              <w:rPr>
                <w:rFonts w:hint="eastAsia"/>
                <w:sz w:val="19"/>
              </w:rPr>
            </w:pPr>
            <w:r>
              <w:rPr>
                <w:sz w:val="19"/>
              </w:rPr>
              <w:t>2022</w:t>
            </w:r>
          </w:p>
        </w:tc>
        <w:tc>
          <w:tcPr>
            <w:tcW w:w="1453"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1.68%</w:t>
            </w:r>
          </w:p>
        </w:tc>
        <w:tc>
          <w:tcPr>
            <w:tcW w:w="991" w:type="pct"/>
            <w:vAlign w:val="center"/>
          </w:tcPr>
          <w:p>
            <w:pPr>
              <w:spacing w:line="240" w:lineRule="auto"/>
              <w:jc w:val="center"/>
              <w:rPr>
                <w:rFonts w:hint="eastAsia"/>
                <w:sz w:val="19"/>
              </w:rPr>
            </w:pPr>
            <w:r>
              <w:rPr>
                <w:rFonts w:hint="eastAsia"/>
                <w:sz w:val="19"/>
              </w:rPr>
              <w:t>2804</w:t>
            </w:r>
          </w:p>
        </w:tc>
        <w:tc>
          <w:tcPr>
            <w:tcW w:w="1278"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47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noWrap/>
            <w:tcMar>
              <w:top w:w="30" w:type="dxa"/>
              <w:left w:w="45" w:type="dxa"/>
              <w:bottom w:w="30" w:type="dxa"/>
              <w:right w:w="45" w:type="dxa"/>
            </w:tcMar>
            <w:vAlign w:val="center"/>
          </w:tcPr>
          <w:p>
            <w:pPr>
              <w:spacing w:line="240" w:lineRule="auto"/>
              <w:jc w:val="center"/>
              <w:rPr>
                <w:rFonts w:hint="eastAsia"/>
                <w:sz w:val="19"/>
              </w:rPr>
            </w:pPr>
            <w:r>
              <w:rPr>
                <w:sz w:val="19"/>
              </w:rPr>
              <w:t>2023</w:t>
            </w:r>
          </w:p>
        </w:tc>
        <w:tc>
          <w:tcPr>
            <w:tcW w:w="1453"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4.00%</w:t>
            </w:r>
          </w:p>
        </w:tc>
        <w:tc>
          <w:tcPr>
            <w:tcW w:w="991" w:type="pct"/>
            <w:vAlign w:val="bottom"/>
          </w:tcPr>
          <w:p>
            <w:pPr>
              <w:spacing w:line="240" w:lineRule="auto"/>
              <w:jc w:val="center"/>
              <w:rPr>
                <w:rFonts w:hint="eastAsia"/>
                <w:sz w:val="19"/>
              </w:rPr>
            </w:pPr>
            <w:r>
              <w:rPr>
                <w:rFonts w:hint="eastAsia"/>
                <w:sz w:val="19"/>
              </w:rPr>
              <w:t>2624</w:t>
            </w:r>
          </w:p>
        </w:tc>
        <w:tc>
          <w:tcPr>
            <w:tcW w:w="1278"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105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noWrap/>
            <w:tcMar>
              <w:top w:w="30" w:type="dxa"/>
              <w:left w:w="45" w:type="dxa"/>
              <w:bottom w:w="30" w:type="dxa"/>
              <w:right w:w="45" w:type="dxa"/>
            </w:tcMar>
            <w:vAlign w:val="center"/>
          </w:tcPr>
          <w:p>
            <w:pPr>
              <w:spacing w:line="240" w:lineRule="auto"/>
              <w:jc w:val="center"/>
              <w:rPr>
                <w:rFonts w:hint="eastAsia"/>
                <w:sz w:val="19"/>
              </w:rPr>
            </w:pPr>
            <w:r>
              <w:rPr>
                <w:sz w:val="19"/>
              </w:rPr>
              <w:t>2024</w:t>
            </w:r>
          </w:p>
        </w:tc>
        <w:tc>
          <w:tcPr>
            <w:tcW w:w="1453"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8.00%</w:t>
            </w:r>
          </w:p>
        </w:tc>
        <w:tc>
          <w:tcPr>
            <w:tcW w:w="991" w:type="pct"/>
            <w:vAlign w:val="center"/>
          </w:tcPr>
          <w:p>
            <w:pPr>
              <w:spacing w:line="240" w:lineRule="auto"/>
              <w:jc w:val="center"/>
              <w:rPr>
                <w:rFonts w:hint="eastAsia"/>
                <w:sz w:val="19"/>
              </w:rPr>
            </w:pPr>
            <w:r>
              <w:rPr>
                <w:rFonts w:hint="eastAsia"/>
                <w:sz w:val="19"/>
              </w:rPr>
              <w:t>1686</w:t>
            </w:r>
          </w:p>
        </w:tc>
        <w:tc>
          <w:tcPr>
            <w:tcW w:w="1278"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135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noWrap/>
            <w:tcMar>
              <w:top w:w="30" w:type="dxa"/>
              <w:left w:w="45" w:type="dxa"/>
              <w:bottom w:w="30" w:type="dxa"/>
              <w:right w:w="45" w:type="dxa"/>
            </w:tcMar>
            <w:vAlign w:val="center"/>
          </w:tcPr>
          <w:p>
            <w:pPr>
              <w:spacing w:line="240" w:lineRule="auto"/>
              <w:jc w:val="center"/>
              <w:rPr>
                <w:rFonts w:hint="eastAsia"/>
                <w:sz w:val="19"/>
              </w:rPr>
            </w:pPr>
            <w:r>
              <w:rPr>
                <w:sz w:val="19"/>
              </w:rPr>
              <w:t>2025</w:t>
            </w:r>
          </w:p>
        </w:tc>
        <w:tc>
          <w:tcPr>
            <w:tcW w:w="1453"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12%</w:t>
            </w:r>
          </w:p>
        </w:tc>
        <w:tc>
          <w:tcPr>
            <w:tcW w:w="991" w:type="pct"/>
            <w:vAlign w:val="center"/>
          </w:tcPr>
          <w:p>
            <w:pPr>
              <w:spacing w:line="240" w:lineRule="auto"/>
              <w:jc w:val="center"/>
              <w:rPr>
                <w:rFonts w:hint="eastAsia"/>
                <w:sz w:val="19"/>
              </w:rPr>
            </w:pPr>
            <w:r>
              <w:rPr>
                <w:rFonts w:hint="eastAsia"/>
                <w:sz w:val="19"/>
              </w:rPr>
              <w:t>1627</w:t>
            </w:r>
          </w:p>
        </w:tc>
        <w:tc>
          <w:tcPr>
            <w:tcW w:w="1278"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195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noWrap/>
            <w:tcMar>
              <w:top w:w="30" w:type="dxa"/>
              <w:left w:w="45" w:type="dxa"/>
              <w:bottom w:w="30" w:type="dxa"/>
              <w:right w:w="45" w:type="dxa"/>
            </w:tcMar>
            <w:vAlign w:val="center"/>
          </w:tcPr>
          <w:p>
            <w:pPr>
              <w:spacing w:line="240" w:lineRule="auto"/>
              <w:jc w:val="center"/>
              <w:rPr>
                <w:rFonts w:hint="eastAsia"/>
                <w:sz w:val="19"/>
              </w:rPr>
            </w:pPr>
            <w:r>
              <w:rPr>
                <w:sz w:val="19"/>
              </w:rPr>
              <w:t>2026</w:t>
            </w:r>
          </w:p>
        </w:tc>
        <w:tc>
          <w:tcPr>
            <w:tcW w:w="1453" w:type="pct"/>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16.00%</w:t>
            </w:r>
          </w:p>
        </w:tc>
        <w:tc>
          <w:tcPr>
            <w:tcW w:w="991" w:type="pct"/>
            <w:vAlign w:val="center"/>
          </w:tcPr>
          <w:p>
            <w:pPr>
              <w:spacing w:line="240" w:lineRule="auto"/>
              <w:jc w:val="center"/>
              <w:rPr>
                <w:rFonts w:hint="eastAsia"/>
                <w:sz w:val="19"/>
              </w:rPr>
            </w:pPr>
            <w:r>
              <w:rPr>
                <w:rFonts w:hint="eastAsia"/>
                <w:sz w:val="19"/>
              </w:rPr>
              <w:t>1568</w:t>
            </w:r>
          </w:p>
        </w:tc>
        <w:tc>
          <w:tcPr>
            <w:tcW w:w="1278"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251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noWrap/>
            <w:tcMar>
              <w:top w:w="30" w:type="dxa"/>
              <w:left w:w="45" w:type="dxa"/>
              <w:bottom w:w="30" w:type="dxa"/>
              <w:right w:w="45" w:type="dxa"/>
            </w:tcMar>
            <w:vAlign w:val="center"/>
          </w:tcPr>
          <w:p>
            <w:pPr>
              <w:spacing w:line="240" w:lineRule="auto"/>
              <w:jc w:val="center"/>
              <w:rPr>
                <w:rFonts w:hint="eastAsia"/>
                <w:sz w:val="19"/>
              </w:rPr>
            </w:pPr>
            <w:r>
              <w:rPr>
                <w:sz w:val="19"/>
              </w:rPr>
              <w:t>2027</w:t>
            </w:r>
          </w:p>
        </w:tc>
        <w:tc>
          <w:tcPr>
            <w:tcW w:w="1453" w:type="pct"/>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20.00%</w:t>
            </w:r>
          </w:p>
        </w:tc>
        <w:tc>
          <w:tcPr>
            <w:tcW w:w="991" w:type="pct"/>
            <w:vAlign w:val="center"/>
          </w:tcPr>
          <w:p>
            <w:pPr>
              <w:spacing w:line="240" w:lineRule="auto"/>
              <w:jc w:val="center"/>
              <w:rPr>
                <w:rFonts w:hint="eastAsia"/>
                <w:sz w:val="19"/>
              </w:rPr>
            </w:pPr>
            <w:r>
              <w:rPr>
                <w:rFonts w:hint="eastAsia"/>
                <w:sz w:val="19"/>
              </w:rPr>
              <w:t>1508</w:t>
            </w:r>
          </w:p>
        </w:tc>
        <w:tc>
          <w:tcPr>
            <w:tcW w:w="1278"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302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noWrap/>
            <w:tcMar>
              <w:top w:w="30" w:type="dxa"/>
              <w:left w:w="45" w:type="dxa"/>
              <w:bottom w:w="30" w:type="dxa"/>
              <w:right w:w="45" w:type="dxa"/>
            </w:tcMar>
            <w:vAlign w:val="center"/>
          </w:tcPr>
          <w:p>
            <w:pPr>
              <w:spacing w:line="240" w:lineRule="auto"/>
              <w:jc w:val="center"/>
              <w:rPr>
                <w:rFonts w:hint="eastAsia"/>
                <w:sz w:val="19"/>
              </w:rPr>
            </w:pPr>
            <w:r>
              <w:rPr>
                <w:sz w:val="19"/>
              </w:rPr>
              <w:t>2028</w:t>
            </w:r>
          </w:p>
        </w:tc>
        <w:tc>
          <w:tcPr>
            <w:tcW w:w="1453" w:type="pct"/>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24.00%</w:t>
            </w:r>
          </w:p>
        </w:tc>
        <w:tc>
          <w:tcPr>
            <w:tcW w:w="991" w:type="pct"/>
            <w:vAlign w:val="center"/>
          </w:tcPr>
          <w:p>
            <w:pPr>
              <w:spacing w:line="240" w:lineRule="auto"/>
              <w:jc w:val="center"/>
              <w:rPr>
                <w:rFonts w:hint="eastAsia"/>
                <w:sz w:val="19"/>
              </w:rPr>
            </w:pPr>
            <w:r>
              <w:rPr>
                <w:rFonts w:hint="eastAsia"/>
                <w:sz w:val="19"/>
              </w:rPr>
              <w:t>1447</w:t>
            </w:r>
          </w:p>
        </w:tc>
        <w:tc>
          <w:tcPr>
            <w:tcW w:w="1278"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347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noWrap/>
            <w:tcMar>
              <w:top w:w="30" w:type="dxa"/>
              <w:left w:w="45" w:type="dxa"/>
              <w:bottom w:w="30" w:type="dxa"/>
              <w:right w:w="45" w:type="dxa"/>
            </w:tcMar>
            <w:vAlign w:val="center"/>
          </w:tcPr>
          <w:p>
            <w:pPr>
              <w:spacing w:line="240" w:lineRule="auto"/>
              <w:jc w:val="center"/>
              <w:rPr>
                <w:rFonts w:hint="eastAsia"/>
                <w:sz w:val="19"/>
              </w:rPr>
            </w:pPr>
            <w:r>
              <w:rPr>
                <w:sz w:val="19"/>
              </w:rPr>
              <w:t>2029</w:t>
            </w:r>
          </w:p>
        </w:tc>
        <w:tc>
          <w:tcPr>
            <w:tcW w:w="1453" w:type="pct"/>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28.00%</w:t>
            </w:r>
          </w:p>
        </w:tc>
        <w:tc>
          <w:tcPr>
            <w:tcW w:w="991" w:type="pct"/>
            <w:vAlign w:val="center"/>
          </w:tcPr>
          <w:p>
            <w:pPr>
              <w:spacing w:line="240" w:lineRule="auto"/>
              <w:jc w:val="center"/>
              <w:rPr>
                <w:rFonts w:hint="eastAsia"/>
                <w:sz w:val="19"/>
              </w:rPr>
            </w:pPr>
            <w:r>
              <w:rPr>
                <w:rFonts w:hint="eastAsia"/>
                <w:sz w:val="19"/>
              </w:rPr>
              <w:t>1387</w:t>
            </w:r>
          </w:p>
        </w:tc>
        <w:tc>
          <w:tcPr>
            <w:tcW w:w="1278"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388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noWrap/>
            <w:tcMar>
              <w:top w:w="30" w:type="dxa"/>
              <w:left w:w="45" w:type="dxa"/>
              <w:bottom w:w="30" w:type="dxa"/>
              <w:right w:w="45" w:type="dxa"/>
            </w:tcMar>
            <w:vAlign w:val="center"/>
          </w:tcPr>
          <w:p>
            <w:pPr>
              <w:spacing w:line="240" w:lineRule="auto"/>
              <w:jc w:val="center"/>
              <w:rPr>
                <w:rFonts w:hint="eastAsia"/>
                <w:sz w:val="19"/>
              </w:rPr>
            </w:pPr>
            <w:r>
              <w:rPr>
                <w:sz w:val="19"/>
              </w:rPr>
              <w:t>2030</w:t>
            </w:r>
          </w:p>
        </w:tc>
        <w:tc>
          <w:tcPr>
            <w:tcW w:w="1453" w:type="pct"/>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32.00%</w:t>
            </w:r>
          </w:p>
        </w:tc>
        <w:tc>
          <w:tcPr>
            <w:tcW w:w="991" w:type="pct"/>
            <w:vAlign w:val="center"/>
          </w:tcPr>
          <w:p>
            <w:pPr>
              <w:spacing w:line="240" w:lineRule="auto"/>
              <w:jc w:val="center"/>
              <w:rPr>
                <w:rFonts w:hint="eastAsia"/>
                <w:sz w:val="19"/>
              </w:rPr>
            </w:pPr>
            <w:r>
              <w:rPr>
                <w:rFonts w:hint="eastAsia"/>
                <w:sz w:val="19"/>
              </w:rPr>
              <w:t>1370</w:t>
            </w:r>
          </w:p>
        </w:tc>
        <w:tc>
          <w:tcPr>
            <w:tcW w:w="1278"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438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noWrap/>
            <w:tcMar>
              <w:top w:w="30" w:type="dxa"/>
              <w:left w:w="45" w:type="dxa"/>
              <w:bottom w:w="30" w:type="dxa"/>
              <w:right w:w="45" w:type="dxa"/>
            </w:tcMar>
            <w:vAlign w:val="center"/>
          </w:tcPr>
          <w:p>
            <w:pPr>
              <w:spacing w:line="240" w:lineRule="auto"/>
              <w:jc w:val="center"/>
              <w:rPr>
                <w:rFonts w:hint="eastAsia"/>
                <w:sz w:val="19"/>
              </w:rPr>
            </w:pPr>
            <w:r>
              <w:rPr>
                <w:sz w:val="19"/>
              </w:rPr>
              <w:t>2031</w:t>
            </w:r>
          </w:p>
        </w:tc>
        <w:tc>
          <w:tcPr>
            <w:tcW w:w="1453" w:type="pct"/>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36.00%</w:t>
            </w:r>
          </w:p>
        </w:tc>
        <w:tc>
          <w:tcPr>
            <w:tcW w:w="991" w:type="pct"/>
            <w:vAlign w:val="center"/>
          </w:tcPr>
          <w:p>
            <w:pPr>
              <w:spacing w:line="240" w:lineRule="auto"/>
              <w:jc w:val="center"/>
              <w:rPr>
                <w:rFonts w:hint="eastAsia"/>
                <w:sz w:val="19"/>
              </w:rPr>
            </w:pPr>
            <w:r>
              <w:rPr>
                <w:rFonts w:hint="eastAsia"/>
                <w:sz w:val="19"/>
              </w:rPr>
              <w:t>1355</w:t>
            </w:r>
          </w:p>
        </w:tc>
        <w:tc>
          <w:tcPr>
            <w:tcW w:w="1278"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488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noWrap/>
            <w:tcMar>
              <w:top w:w="30" w:type="dxa"/>
              <w:left w:w="45" w:type="dxa"/>
              <w:bottom w:w="30" w:type="dxa"/>
              <w:right w:w="45" w:type="dxa"/>
            </w:tcMar>
            <w:vAlign w:val="center"/>
          </w:tcPr>
          <w:p>
            <w:pPr>
              <w:spacing w:line="240" w:lineRule="auto"/>
              <w:jc w:val="center"/>
              <w:rPr>
                <w:rFonts w:hint="eastAsia"/>
                <w:sz w:val="19"/>
              </w:rPr>
            </w:pPr>
            <w:r>
              <w:rPr>
                <w:sz w:val="19"/>
              </w:rPr>
              <w:t>2032</w:t>
            </w:r>
          </w:p>
        </w:tc>
        <w:tc>
          <w:tcPr>
            <w:tcW w:w="1453" w:type="pct"/>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37.00%</w:t>
            </w:r>
          </w:p>
        </w:tc>
        <w:tc>
          <w:tcPr>
            <w:tcW w:w="991" w:type="pct"/>
            <w:vAlign w:val="center"/>
          </w:tcPr>
          <w:p>
            <w:pPr>
              <w:spacing w:line="240" w:lineRule="auto"/>
              <w:jc w:val="center"/>
              <w:rPr>
                <w:rFonts w:hint="eastAsia"/>
                <w:sz w:val="19"/>
              </w:rPr>
            </w:pPr>
            <w:r>
              <w:rPr>
                <w:rFonts w:hint="eastAsia"/>
                <w:sz w:val="19"/>
              </w:rPr>
              <w:t>1342</w:t>
            </w:r>
          </w:p>
        </w:tc>
        <w:tc>
          <w:tcPr>
            <w:tcW w:w="1278"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497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noWrap/>
            <w:tcMar>
              <w:top w:w="30" w:type="dxa"/>
              <w:left w:w="45" w:type="dxa"/>
              <w:bottom w:w="30" w:type="dxa"/>
              <w:right w:w="45" w:type="dxa"/>
            </w:tcMar>
            <w:vAlign w:val="center"/>
          </w:tcPr>
          <w:p>
            <w:pPr>
              <w:spacing w:line="240" w:lineRule="auto"/>
              <w:jc w:val="center"/>
              <w:rPr>
                <w:rFonts w:hint="eastAsia"/>
                <w:sz w:val="19"/>
              </w:rPr>
            </w:pPr>
            <w:r>
              <w:rPr>
                <w:sz w:val="19"/>
              </w:rPr>
              <w:t>2033</w:t>
            </w:r>
          </w:p>
        </w:tc>
        <w:tc>
          <w:tcPr>
            <w:tcW w:w="1453" w:type="pct"/>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38.00%</w:t>
            </w:r>
          </w:p>
        </w:tc>
        <w:tc>
          <w:tcPr>
            <w:tcW w:w="991" w:type="pct"/>
            <w:vAlign w:val="center"/>
          </w:tcPr>
          <w:p>
            <w:pPr>
              <w:spacing w:line="240" w:lineRule="auto"/>
              <w:jc w:val="center"/>
              <w:rPr>
                <w:rFonts w:hint="eastAsia"/>
                <w:sz w:val="19"/>
              </w:rPr>
            </w:pPr>
            <w:r>
              <w:rPr>
                <w:rFonts w:hint="eastAsia"/>
                <w:sz w:val="19"/>
              </w:rPr>
              <w:t>1327</w:t>
            </w:r>
          </w:p>
        </w:tc>
        <w:tc>
          <w:tcPr>
            <w:tcW w:w="1278"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504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noWrap/>
            <w:tcMar>
              <w:top w:w="30" w:type="dxa"/>
              <w:left w:w="45" w:type="dxa"/>
              <w:bottom w:w="30" w:type="dxa"/>
              <w:right w:w="45" w:type="dxa"/>
            </w:tcMar>
            <w:vAlign w:val="center"/>
          </w:tcPr>
          <w:p>
            <w:pPr>
              <w:spacing w:line="240" w:lineRule="auto"/>
              <w:jc w:val="center"/>
              <w:rPr>
                <w:rFonts w:hint="eastAsia"/>
                <w:sz w:val="19"/>
              </w:rPr>
            </w:pPr>
            <w:r>
              <w:rPr>
                <w:sz w:val="19"/>
              </w:rPr>
              <w:t>2034</w:t>
            </w:r>
          </w:p>
        </w:tc>
        <w:tc>
          <w:tcPr>
            <w:tcW w:w="1453" w:type="pct"/>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39.00%</w:t>
            </w:r>
          </w:p>
        </w:tc>
        <w:tc>
          <w:tcPr>
            <w:tcW w:w="991" w:type="pct"/>
            <w:vAlign w:val="center"/>
          </w:tcPr>
          <w:p>
            <w:pPr>
              <w:spacing w:line="240" w:lineRule="auto"/>
              <w:jc w:val="center"/>
              <w:rPr>
                <w:rFonts w:hint="eastAsia"/>
                <w:sz w:val="19"/>
              </w:rPr>
            </w:pPr>
            <w:r>
              <w:rPr>
                <w:rFonts w:hint="eastAsia"/>
                <w:sz w:val="19"/>
              </w:rPr>
              <w:t>1315</w:t>
            </w:r>
          </w:p>
        </w:tc>
        <w:tc>
          <w:tcPr>
            <w:tcW w:w="1278"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513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noWrap/>
            <w:tcMar>
              <w:top w:w="30" w:type="dxa"/>
              <w:left w:w="45" w:type="dxa"/>
              <w:bottom w:w="30" w:type="dxa"/>
              <w:right w:w="45" w:type="dxa"/>
            </w:tcMar>
            <w:vAlign w:val="center"/>
          </w:tcPr>
          <w:p>
            <w:pPr>
              <w:spacing w:line="240" w:lineRule="auto"/>
              <w:jc w:val="center"/>
              <w:rPr>
                <w:rFonts w:hint="eastAsia"/>
                <w:sz w:val="19"/>
              </w:rPr>
            </w:pPr>
            <w:r>
              <w:rPr>
                <w:sz w:val="19"/>
              </w:rPr>
              <w:t>2035</w:t>
            </w:r>
          </w:p>
        </w:tc>
        <w:tc>
          <w:tcPr>
            <w:tcW w:w="1453" w:type="pct"/>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40.00%</w:t>
            </w:r>
          </w:p>
        </w:tc>
        <w:tc>
          <w:tcPr>
            <w:tcW w:w="991" w:type="pct"/>
            <w:vAlign w:val="center"/>
          </w:tcPr>
          <w:p>
            <w:pPr>
              <w:spacing w:line="240" w:lineRule="auto"/>
              <w:jc w:val="center"/>
              <w:rPr>
                <w:rFonts w:hint="eastAsia"/>
                <w:sz w:val="19"/>
              </w:rPr>
            </w:pPr>
            <w:r>
              <w:rPr>
                <w:rFonts w:hint="eastAsia"/>
                <w:sz w:val="19"/>
              </w:rPr>
              <w:t>1302</w:t>
            </w:r>
          </w:p>
        </w:tc>
        <w:tc>
          <w:tcPr>
            <w:tcW w:w="1278"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521</w:t>
            </w:r>
          </w:p>
        </w:tc>
      </w:tr>
    </w:tbl>
    <w:p>
      <w:pPr>
        <w:spacing w:line="360" w:lineRule="auto"/>
        <w:ind w:firstLine="560" w:firstLineChars="200"/>
        <w:rPr>
          <w:rFonts w:hint="eastAsia" w:cs="仿宋_GB2312"/>
          <w:szCs w:val="22"/>
        </w:rPr>
      </w:pPr>
      <w:r>
        <w:rPr>
          <w:rFonts w:cs="仿宋_GB2312"/>
          <w:szCs w:val="22"/>
        </w:rPr>
        <w:t>结合</w:t>
      </w:r>
      <w:r>
        <w:rPr>
          <w:rFonts w:hint="eastAsia" w:cs="仿宋_GB2312"/>
          <w:szCs w:val="22"/>
        </w:rPr>
        <w:t>电动汽车</w:t>
      </w:r>
      <w:r>
        <w:rPr>
          <w:rFonts w:cs="仿宋_GB2312"/>
          <w:szCs w:val="22"/>
        </w:rPr>
        <w:t>逐年</w:t>
      </w:r>
      <w:r>
        <w:rPr>
          <w:rFonts w:hint="eastAsia" w:cs="仿宋_GB2312"/>
          <w:szCs w:val="22"/>
        </w:rPr>
        <w:t>增长情况</w:t>
      </w:r>
      <w:r>
        <w:rPr>
          <w:rFonts w:cs="仿宋_GB2312"/>
          <w:szCs w:val="22"/>
        </w:rPr>
        <w:t>，逐年预测</w:t>
      </w:r>
      <w:r>
        <w:rPr>
          <w:rFonts w:hint="eastAsia" w:cs="仿宋_GB2312"/>
          <w:szCs w:val="22"/>
        </w:rPr>
        <w:t>电动汽车</w:t>
      </w:r>
      <w:r>
        <w:rPr>
          <w:rFonts w:cs="仿宋_GB2312"/>
          <w:szCs w:val="22"/>
        </w:rPr>
        <w:t>保有量，预计2025年电动化率</w:t>
      </w:r>
      <w:r>
        <w:rPr>
          <w:rFonts w:hint="eastAsia" w:cs="仿宋_GB2312"/>
          <w:szCs w:val="22"/>
        </w:rPr>
        <w:t>达到</w:t>
      </w:r>
      <w:r>
        <w:rPr>
          <w:rFonts w:cs="仿宋_GB2312"/>
          <w:szCs w:val="22"/>
        </w:rPr>
        <w:t>1.15%</w:t>
      </w:r>
      <w:r>
        <w:rPr>
          <w:rFonts w:hint="eastAsia" w:cs="仿宋_GB2312"/>
          <w:szCs w:val="22"/>
        </w:rPr>
        <w:t>，电动汽车</w:t>
      </w:r>
      <w:r>
        <w:rPr>
          <w:rFonts w:cs="仿宋_GB2312"/>
          <w:szCs w:val="22"/>
        </w:rPr>
        <w:t>保有量</w:t>
      </w:r>
      <w:r>
        <w:rPr>
          <w:rFonts w:hint="eastAsia" w:cs="仿宋_GB2312"/>
          <w:szCs w:val="22"/>
        </w:rPr>
        <w:t>达到6</w:t>
      </w:r>
      <w:r>
        <w:rPr>
          <w:rFonts w:cs="仿宋_GB2312"/>
          <w:szCs w:val="22"/>
        </w:rPr>
        <w:t>93辆</w:t>
      </w:r>
      <w:r>
        <w:rPr>
          <w:rFonts w:hint="eastAsia" w:cs="仿宋_GB2312"/>
          <w:szCs w:val="22"/>
        </w:rPr>
        <w:t>，2</w:t>
      </w:r>
      <w:r>
        <w:rPr>
          <w:rFonts w:cs="仿宋_GB2312"/>
          <w:szCs w:val="22"/>
        </w:rPr>
        <w:t>028</w:t>
      </w:r>
      <w:r>
        <w:rPr>
          <w:rFonts w:hint="eastAsia" w:cs="仿宋_GB2312"/>
          <w:szCs w:val="22"/>
        </w:rPr>
        <w:t>年</w:t>
      </w:r>
      <w:r>
        <w:rPr>
          <w:rFonts w:cs="仿宋_GB2312"/>
          <w:szCs w:val="22"/>
        </w:rPr>
        <w:t>电动化率</w:t>
      </w:r>
      <w:r>
        <w:rPr>
          <w:rFonts w:hint="eastAsia" w:cs="仿宋_GB2312"/>
          <w:szCs w:val="22"/>
        </w:rPr>
        <w:t>达到</w:t>
      </w:r>
      <w:r>
        <w:rPr>
          <w:rFonts w:cs="仿宋_GB2312"/>
          <w:szCs w:val="22"/>
        </w:rPr>
        <w:t>2.15%</w:t>
      </w:r>
      <w:r>
        <w:rPr>
          <w:rFonts w:hint="eastAsia" w:cs="仿宋_GB2312"/>
          <w:szCs w:val="22"/>
        </w:rPr>
        <w:t>，电动汽车</w:t>
      </w:r>
      <w:r>
        <w:rPr>
          <w:rFonts w:cs="仿宋_GB2312"/>
          <w:szCs w:val="22"/>
        </w:rPr>
        <w:t>保有量</w:t>
      </w:r>
      <w:r>
        <w:rPr>
          <w:rFonts w:hint="eastAsia" w:cs="仿宋_GB2312"/>
          <w:szCs w:val="22"/>
        </w:rPr>
        <w:t>达到</w:t>
      </w:r>
      <w:r>
        <w:rPr>
          <w:rFonts w:cs="仿宋_GB2312"/>
          <w:szCs w:val="22"/>
        </w:rPr>
        <w:t>1393</w:t>
      </w:r>
      <w:r>
        <w:rPr>
          <w:rFonts w:hint="eastAsia" w:cs="仿宋_GB2312"/>
          <w:szCs w:val="22"/>
        </w:rPr>
        <w:t>辆，2</w:t>
      </w:r>
      <w:r>
        <w:rPr>
          <w:rFonts w:cs="仿宋_GB2312"/>
          <w:szCs w:val="22"/>
        </w:rPr>
        <w:t>035</w:t>
      </w:r>
      <w:r>
        <w:rPr>
          <w:rFonts w:hint="eastAsia" w:cs="仿宋_GB2312"/>
          <w:szCs w:val="22"/>
        </w:rPr>
        <w:t>年电动化率达到</w:t>
      </w:r>
      <w:r>
        <w:rPr>
          <w:rFonts w:cs="仿宋_GB2312"/>
          <w:szCs w:val="22"/>
        </w:rPr>
        <w:t>6.4%</w:t>
      </w:r>
      <w:r>
        <w:rPr>
          <w:rFonts w:hint="eastAsia" w:cs="仿宋_GB2312"/>
          <w:szCs w:val="22"/>
        </w:rPr>
        <w:t>，电动汽车</w:t>
      </w:r>
      <w:r>
        <w:rPr>
          <w:rFonts w:cs="仿宋_GB2312"/>
          <w:szCs w:val="22"/>
        </w:rPr>
        <w:t>保有量</w:t>
      </w:r>
      <w:r>
        <w:rPr>
          <w:rFonts w:hint="eastAsia" w:cs="仿宋_GB2312"/>
          <w:szCs w:val="22"/>
        </w:rPr>
        <w:t>达到</w:t>
      </w:r>
      <w:r>
        <w:rPr>
          <w:rFonts w:cs="仿宋_GB2312"/>
          <w:szCs w:val="22"/>
        </w:rPr>
        <w:t>4742</w:t>
      </w:r>
      <w:r>
        <w:rPr>
          <w:rFonts w:hint="eastAsia" w:cs="仿宋_GB2312"/>
          <w:szCs w:val="22"/>
        </w:rPr>
        <w:t>辆</w:t>
      </w:r>
      <w:r>
        <w:rPr>
          <w:rFonts w:cs="仿宋_GB2312"/>
          <w:szCs w:val="22"/>
        </w:rPr>
        <w:t>。</w:t>
      </w:r>
    </w:p>
    <w:p>
      <w:pPr>
        <w:spacing w:line="360" w:lineRule="auto"/>
        <w:rPr>
          <w:rFonts w:hint="eastAsia" w:cs="仿宋_GB2312"/>
          <w:b/>
          <w:bCs/>
          <w:szCs w:val="22"/>
        </w:rPr>
      </w:pPr>
      <w:r>
        <w:rPr>
          <w:rFonts w:hint="eastAsia" w:cs="仿宋_GB2312"/>
          <w:b/>
          <w:bCs/>
          <w:szCs w:val="22"/>
        </w:rPr>
        <w:t>分类预测</w:t>
      </w:r>
    </w:p>
    <w:p>
      <w:pPr>
        <w:spacing w:line="360" w:lineRule="auto"/>
        <w:ind w:firstLine="560" w:firstLineChars="200"/>
        <w:rPr>
          <w:rFonts w:hint="eastAsia" w:cs="仿宋_GB2312"/>
          <w:szCs w:val="22"/>
        </w:rPr>
      </w:pPr>
      <w:r>
        <w:rPr>
          <w:rFonts w:hint="eastAsia" w:cs="仿宋_GB2312"/>
          <w:szCs w:val="22"/>
        </w:rPr>
        <w:t>桓仁满族自治县内无网约车，同时网约车发展与充电情况与出租车类似，预测时算入出租车中，分类预测各类汽车</w:t>
      </w:r>
      <w:r>
        <w:rPr>
          <w:rFonts w:cs="仿宋_GB2312"/>
          <w:szCs w:val="22"/>
        </w:rPr>
        <w:t>保有量</w:t>
      </w:r>
      <w:r>
        <w:rPr>
          <w:rFonts w:hint="eastAsia" w:cs="仿宋_GB2312"/>
          <w:szCs w:val="22"/>
        </w:rPr>
        <w:t>。</w:t>
      </w:r>
    </w:p>
    <w:p>
      <w:pPr>
        <w:pStyle w:val="47"/>
        <w:numPr>
          <w:ilvl w:val="1"/>
          <w:numId w:val="8"/>
        </w:numPr>
        <w:spacing w:line="360" w:lineRule="auto"/>
        <w:ind w:left="0" w:firstLine="560"/>
        <w:rPr>
          <w:rFonts w:hint="eastAsia" w:cs="仿宋_GB2312"/>
          <w:szCs w:val="22"/>
        </w:rPr>
      </w:pPr>
      <w:r>
        <w:rPr>
          <w:rFonts w:cs="仿宋_GB2312"/>
          <w:szCs w:val="22"/>
        </w:rPr>
        <w:t>私家车</w:t>
      </w:r>
      <w:r>
        <w:rPr>
          <w:rFonts w:cs="仿宋_GB2312"/>
          <w:szCs w:val="22"/>
        </w:rPr>
        <w:tab/>
      </w:r>
    </w:p>
    <w:p>
      <w:pPr>
        <w:spacing w:line="360" w:lineRule="auto"/>
        <w:ind w:firstLine="560" w:firstLineChars="200"/>
        <w:rPr>
          <w:rFonts w:hint="eastAsia" w:cs="仿宋_GB2312"/>
          <w:szCs w:val="22"/>
        </w:rPr>
      </w:pPr>
      <w:r>
        <w:rPr>
          <w:rFonts w:cs="仿宋_GB2312"/>
          <w:szCs w:val="22"/>
        </w:rPr>
        <w:t>私家车</w:t>
      </w:r>
      <w:r>
        <w:rPr>
          <w:rFonts w:hint="eastAsia" w:cs="仿宋_GB2312"/>
          <w:szCs w:val="22"/>
        </w:rPr>
        <w:t>总量预测</w:t>
      </w:r>
      <w:r>
        <w:rPr>
          <w:rFonts w:cs="仿宋_GB2312"/>
          <w:szCs w:val="22"/>
        </w:rPr>
        <w:t>采用时间序列法，</w:t>
      </w:r>
      <w:r>
        <w:rPr>
          <w:rFonts w:hint="eastAsia" w:cs="仿宋_GB2312"/>
          <w:szCs w:val="22"/>
        </w:rPr>
        <w:t>根据历史年数据，形成多条函数曲线，计算多条函数平均值，</w:t>
      </w:r>
      <w:r>
        <w:rPr>
          <w:rFonts w:cs="仿宋_GB2312"/>
          <w:szCs w:val="22"/>
        </w:rPr>
        <w:t>测算</w:t>
      </w:r>
      <w:r>
        <w:rPr>
          <w:rFonts w:hint="eastAsia" w:cs="仿宋_GB2312"/>
          <w:szCs w:val="22"/>
        </w:rPr>
        <w:t>得出</w:t>
      </w:r>
      <w:r>
        <w:rPr>
          <w:rFonts w:cs="仿宋_GB2312"/>
          <w:szCs w:val="22"/>
        </w:rPr>
        <w:t>近期数据</w:t>
      </w:r>
      <w:r>
        <w:rPr>
          <w:rFonts w:hint="eastAsia" w:cs="仿宋_GB2312"/>
          <w:szCs w:val="22"/>
        </w:rPr>
        <w:t>，</w:t>
      </w:r>
      <w:r>
        <w:rPr>
          <w:rFonts w:cs="仿宋_GB2312"/>
          <w:szCs w:val="22"/>
        </w:rPr>
        <w:t>远期根据私家车占全部汽车比例</w:t>
      </w:r>
      <w:r>
        <w:rPr>
          <w:rFonts w:hint="eastAsia" w:cs="仿宋_GB2312"/>
          <w:szCs w:val="22"/>
        </w:rPr>
        <w:t>，</w:t>
      </w:r>
      <w:r>
        <w:rPr>
          <w:rFonts w:cs="仿宋_GB2312"/>
          <w:szCs w:val="22"/>
        </w:rPr>
        <w:t>设置</w:t>
      </w:r>
      <w:r>
        <w:rPr>
          <w:rFonts w:hint="eastAsia" w:cs="仿宋_GB2312"/>
          <w:szCs w:val="22"/>
        </w:rPr>
        <w:t>数量</w:t>
      </w:r>
      <w:r>
        <w:rPr>
          <w:rFonts w:cs="仿宋_GB2312"/>
          <w:szCs w:val="22"/>
        </w:rPr>
        <w:t>约束</w:t>
      </w:r>
      <w:r>
        <w:rPr>
          <w:rFonts w:hint="eastAsia" w:cs="仿宋_GB2312"/>
          <w:szCs w:val="22"/>
        </w:rPr>
        <w:t>。</w:t>
      </w:r>
    </w:p>
    <w:p>
      <w:pPr>
        <w:spacing w:line="360" w:lineRule="auto"/>
        <w:ind w:firstLine="560" w:firstLineChars="200"/>
        <w:rPr>
          <w:rFonts w:hint="eastAsia" w:cs="仿宋_GB2312"/>
          <w:szCs w:val="22"/>
        </w:rPr>
      </w:pPr>
      <w:r>
        <w:rPr>
          <w:rFonts w:cs="仿宋_GB2312"/>
          <w:szCs w:val="22"/>
        </w:rPr>
        <w:t>电动汽车</w:t>
      </w:r>
      <w:r>
        <w:rPr>
          <w:rFonts w:hint="eastAsia" w:cs="仿宋_GB2312"/>
          <w:szCs w:val="22"/>
        </w:rPr>
        <w:t>总量预测</w:t>
      </w:r>
      <w:r>
        <w:rPr>
          <w:rFonts w:cs="仿宋_GB2312"/>
          <w:szCs w:val="22"/>
        </w:rPr>
        <w:t>近期结</w:t>
      </w:r>
      <w:r>
        <w:rPr>
          <w:rFonts w:hint="eastAsia" w:cs="仿宋_GB2312"/>
          <w:szCs w:val="22"/>
        </w:rPr>
        <w:t>合逐年</w:t>
      </w:r>
      <w:r>
        <w:rPr>
          <w:rFonts w:cs="仿宋_GB2312"/>
          <w:szCs w:val="22"/>
        </w:rPr>
        <w:t>电动汽车销售占比，确定逐年增量</w:t>
      </w:r>
      <w:r>
        <w:rPr>
          <w:rFonts w:hint="eastAsia" w:cs="仿宋_GB2312"/>
          <w:szCs w:val="22"/>
        </w:rPr>
        <w:t>及可达到的电动化率</w:t>
      </w:r>
      <w:r>
        <w:rPr>
          <w:rFonts w:cs="仿宋_GB2312"/>
          <w:szCs w:val="22"/>
        </w:rPr>
        <w:t>，</w:t>
      </w:r>
      <w:r>
        <w:rPr>
          <w:rFonts w:hint="eastAsia" w:cs="仿宋_GB2312"/>
          <w:szCs w:val="22"/>
        </w:rPr>
        <w:t>预测2</w:t>
      </w:r>
      <w:r>
        <w:rPr>
          <w:rFonts w:cs="仿宋_GB2312"/>
          <w:szCs w:val="22"/>
        </w:rPr>
        <w:t>028</w:t>
      </w:r>
      <w:r>
        <w:rPr>
          <w:rFonts w:hint="eastAsia" w:cs="仿宋_GB2312"/>
          <w:szCs w:val="22"/>
        </w:rPr>
        <w:t>年电动化率达到</w:t>
      </w:r>
      <w:r>
        <w:rPr>
          <w:rFonts w:cs="仿宋_GB2312"/>
          <w:szCs w:val="22"/>
        </w:rPr>
        <w:t>2.9%</w:t>
      </w:r>
      <w:r>
        <w:rPr>
          <w:rFonts w:hint="eastAsia" w:cs="仿宋_GB2312"/>
          <w:szCs w:val="22"/>
        </w:rPr>
        <w:t>，</w:t>
      </w:r>
      <w:r>
        <w:rPr>
          <w:rFonts w:cs="仿宋_GB2312"/>
          <w:szCs w:val="22"/>
        </w:rPr>
        <w:t>远期</w:t>
      </w:r>
      <w:r>
        <w:rPr>
          <w:rFonts w:hint="eastAsia" w:cs="仿宋_GB2312"/>
          <w:szCs w:val="22"/>
        </w:rPr>
        <w:t>电动化率达到</w:t>
      </w:r>
      <w:r>
        <w:rPr>
          <w:rFonts w:cs="仿宋_GB2312"/>
          <w:szCs w:val="22"/>
        </w:rPr>
        <w:t>6.3%</w:t>
      </w:r>
      <w:r>
        <w:rPr>
          <w:rFonts w:hint="eastAsia" w:cs="仿宋_GB2312"/>
          <w:szCs w:val="22"/>
        </w:rPr>
        <w:t>。</w:t>
      </w:r>
      <w:r>
        <w:rPr>
          <w:rFonts w:cs="仿宋_GB2312"/>
          <w:szCs w:val="22"/>
        </w:rPr>
        <w:tab/>
      </w:r>
    </w:p>
    <w:p>
      <w:pPr>
        <w:pStyle w:val="47"/>
        <w:numPr>
          <w:ilvl w:val="1"/>
          <w:numId w:val="8"/>
        </w:numPr>
        <w:spacing w:line="360" w:lineRule="auto"/>
        <w:ind w:left="0" w:firstLine="560"/>
        <w:rPr>
          <w:rFonts w:hint="eastAsia" w:cs="仿宋_GB2312"/>
          <w:szCs w:val="22"/>
        </w:rPr>
      </w:pPr>
      <w:r>
        <w:rPr>
          <w:rFonts w:cs="仿宋_GB2312"/>
          <w:szCs w:val="22"/>
        </w:rPr>
        <w:t>公交车、客运班车、租赁车</w:t>
      </w:r>
    </w:p>
    <w:p>
      <w:pPr>
        <w:spacing w:line="360" w:lineRule="auto"/>
        <w:ind w:firstLine="560" w:firstLineChars="200"/>
        <w:rPr>
          <w:rFonts w:hint="eastAsia" w:cs="仿宋_GB2312"/>
          <w:szCs w:val="22"/>
        </w:rPr>
      </w:pPr>
      <w:r>
        <w:rPr>
          <w:rFonts w:cs="仿宋_GB2312"/>
          <w:szCs w:val="22"/>
        </w:rPr>
        <w:t>随着私家车的普及，租赁车、公交车、客运班车数量呈下降趋势，根据</w:t>
      </w:r>
      <w:r>
        <w:rPr>
          <w:rFonts w:hint="eastAsia" w:cs="仿宋_GB2312"/>
          <w:szCs w:val="22"/>
        </w:rPr>
        <w:t>历史</w:t>
      </w:r>
      <w:r>
        <w:rPr>
          <w:rFonts w:cs="仿宋_GB2312"/>
          <w:szCs w:val="22"/>
        </w:rPr>
        <w:t>年</w:t>
      </w:r>
      <w:r>
        <w:rPr>
          <w:rFonts w:hint="eastAsia" w:cs="仿宋_GB2312"/>
          <w:szCs w:val="22"/>
        </w:rPr>
        <w:t>汽车总量下降情况</w:t>
      </w:r>
      <w:r>
        <w:rPr>
          <w:rFonts w:cs="仿宋_GB2312"/>
          <w:szCs w:val="22"/>
        </w:rPr>
        <w:t>，确定各年汽车总量</w:t>
      </w:r>
      <w:r>
        <w:rPr>
          <w:rFonts w:hint="eastAsia" w:cs="仿宋_GB2312"/>
          <w:szCs w:val="22"/>
        </w:rPr>
        <w:t>。</w:t>
      </w:r>
    </w:p>
    <w:p>
      <w:pPr>
        <w:spacing w:line="360" w:lineRule="auto"/>
        <w:ind w:firstLine="560" w:firstLineChars="200"/>
        <w:rPr>
          <w:rFonts w:hint="eastAsia" w:cs="仿宋_GB2312"/>
          <w:szCs w:val="22"/>
        </w:rPr>
      </w:pPr>
      <w:r>
        <w:rPr>
          <w:rFonts w:hint="eastAsia" w:cs="仿宋_GB2312"/>
          <w:szCs w:val="22"/>
        </w:rPr>
        <w:t>公交车电动化率现状</w:t>
      </w:r>
      <w:r>
        <w:rPr>
          <w:rFonts w:cs="仿宋_GB2312"/>
          <w:szCs w:val="22"/>
        </w:rPr>
        <w:t>38.71%</w:t>
      </w:r>
      <w:r>
        <w:rPr>
          <w:rFonts w:hint="eastAsia" w:cs="仿宋_GB2312"/>
          <w:szCs w:val="22"/>
        </w:rPr>
        <w:t>，以2</w:t>
      </w:r>
      <w:r>
        <w:rPr>
          <w:rFonts w:cs="仿宋_GB2312"/>
          <w:szCs w:val="22"/>
        </w:rPr>
        <w:t>025</w:t>
      </w:r>
      <w:r>
        <w:rPr>
          <w:rFonts w:hint="eastAsia" w:cs="仿宋_GB2312"/>
          <w:szCs w:val="22"/>
        </w:rPr>
        <w:t>年达到7</w:t>
      </w:r>
      <w:r>
        <w:rPr>
          <w:rFonts w:cs="仿宋_GB2312"/>
          <w:szCs w:val="22"/>
        </w:rPr>
        <w:t>2%</w:t>
      </w:r>
      <w:r>
        <w:rPr>
          <w:rFonts w:hint="eastAsia" w:cs="仿宋_GB2312"/>
          <w:szCs w:val="22"/>
        </w:rPr>
        <w:t>以上，预计至2</w:t>
      </w:r>
      <w:r>
        <w:rPr>
          <w:rFonts w:cs="仿宋_GB2312"/>
          <w:szCs w:val="22"/>
        </w:rPr>
        <w:t>028</w:t>
      </w:r>
      <w:r>
        <w:rPr>
          <w:rFonts w:hint="eastAsia" w:cs="仿宋_GB2312"/>
          <w:szCs w:val="22"/>
        </w:rPr>
        <w:t>年公交电动车电动化率达到9</w:t>
      </w:r>
      <w:r>
        <w:rPr>
          <w:rFonts w:cs="仿宋_GB2312"/>
          <w:szCs w:val="22"/>
        </w:rPr>
        <w:t>0%</w:t>
      </w:r>
      <w:r>
        <w:rPr>
          <w:rFonts w:hint="eastAsia" w:cs="仿宋_GB2312"/>
          <w:szCs w:val="22"/>
        </w:rPr>
        <w:t>，2</w:t>
      </w:r>
      <w:r>
        <w:rPr>
          <w:rFonts w:cs="仿宋_GB2312"/>
          <w:szCs w:val="22"/>
        </w:rPr>
        <w:t>035</w:t>
      </w:r>
      <w:r>
        <w:rPr>
          <w:rFonts w:hint="eastAsia" w:cs="仿宋_GB2312"/>
          <w:szCs w:val="22"/>
        </w:rPr>
        <w:t>年达到1</w:t>
      </w:r>
      <w:r>
        <w:rPr>
          <w:rFonts w:cs="仿宋_GB2312"/>
          <w:szCs w:val="22"/>
        </w:rPr>
        <w:t>00%</w:t>
      </w:r>
      <w:r>
        <w:rPr>
          <w:rFonts w:hint="eastAsia" w:cs="仿宋_GB2312"/>
          <w:szCs w:val="22"/>
        </w:rPr>
        <w:t>。</w:t>
      </w:r>
    </w:p>
    <w:p>
      <w:pPr>
        <w:spacing w:line="360" w:lineRule="auto"/>
        <w:ind w:firstLine="560" w:firstLineChars="200"/>
        <w:rPr>
          <w:rFonts w:hint="eastAsia" w:cs="仿宋_GB2312"/>
          <w:szCs w:val="22"/>
        </w:rPr>
      </w:pPr>
      <w:r>
        <w:rPr>
          <w:rFonts w:hint="eastAsia" w:cs="仿宋_GB2312"/>
          <w:szCs w:val="22"/>
        </w:rPr>
        <w:t>预计2</w:t>
      </w:r>
      <w:r>
        <w:rPr>
          <w:rFonts w:cs="仿宋_GB2312"/>
          <w:szCs w:val="22"/>
        </w:rPr>
        <w:t>028年</w:t>
      </w:r>
      <w:r>
        <w:rPr>
          <w:rFonts w:hint="eastAsia" w:cs="仿宋_GB2312"/>
          <w:szCs w:val="22"/>
        </w:rPr>
        <w:t>租赁车、客运班车</w:t>
      </w:r>
      <w:r>
        <w:rPr>
          <w:rFonts w:cs="仿宋_GB2312"/>
          <w:szCs w:val="22"/>
        </w:rPr>
        <w:t>电动汽车化率</w:t>
      </w:r>
      <w:r>
        <w:rPr>
          <w:rFonts w:hint="eastAsia" w:cs="仿宋_GB2312"/>
          <w:szCs w:val="22"/>
        </w:rPr>
        <w:t>达到</w:t>
      </w:r>
      <w:r>
        <w:rPr>
          <w:rFonts w:cs="仿宋_GB2312"/>
          <w:szCs w:val="22"/>
        </w:rPr>
        <w:t>20%</w:t>
      </w:r>
      <w:r>
        <w:rPr>
          <w:rFonts w:hint="eastAsia" w:cs="仿宋_GB2312"/>
          <w:szCs w:val="22"/>
        </w:rPr>
        <w:t>以上</w:t>
      </w:r>
      <w:r>
        <w:rPr>
          <w:rFonts w:cs="仿宋_GB2312"/>
          <w:szCs w:val="22"/>
        </w:rPr>
        <w:t>，</w:t>
      </w:r>
      <w:r>
        <w:rPr>
          <w:rFonts w:hint="eastAsia" w:cs="仿宋_GB2312"/>
          <w:szCs w:val="22"/>
        </w:rPr>
        <w:t>2</w:t>
      </w:r>
      <w:r>
        <w:rPr>
          <w:rFonts w:cs="仿宋_GB2312"/>
          <w:szCs w:val="22"/>
        </w:rPr>
        <w:t>035年</w:t>
      </w:r>
      <w:r>
        <w:rPr>
          <w:rFonts w:hint="eastAsia" w:cs="仿宋_GB2312"/>
          <w:szCs w:val="22"/>
        </w:rPr>
        <w:t>达到</w:t>
      </w:r>
      <w:r>
        <w:rPr>
          <w:rFonts w:cs="仿宋_GB2312"/>
          <w:szCs w:val="22"/>
        </w:rPr>
        <w:t>40%</w:t>
      </w:r>
      <w:r>
        <w:rPr>
          <w:rFonts w:hint="eastAsia" w:cs="仿宋_GB2312"/>
          <w:szCs w:val="22"/>
        </w:rPr>
        <w:t>。</w:t>
      </w:r>
    </w:p>
    <w:p>
      <w:pPr>
        <w:pStyle w:val="47"/>
        <w:numPr>
          <w:ilvl w:val="1"/>
          <w:numId w:val="8"/>
        </w:numPr>
        <w:spacing w:line="360" w:lineRule="auto"/>
        <w:ind w:left="0" w:firstLine="560"/>
        <w:rPr>
          <w:rFonts w:hint="eastAsia" w:cs="仿宋_GB2312"/>
          <w:szCs w:val="22"/>
        </w:rPr>
      </w:pPr>
      <w:r>
        <w:rPr>
          <w:rFonts w:cs="仿宋_GB2312"/>
          <w:szCs w:val="22"/>
        </w:rPr>
        <w:t>环卫车</w:t>
      </w:r>
    </w:p>
    <w:p>
      <w:pPr>
        <w:spacing w:line="360" w:lineRule="auto"/>
        <w:ind w:firstLine="560" w:firstLineChars="200"/>
        <w:rPr>
          <w:rFonts w:hint="eastAsia" w:cs="仿宋_GB2312"/>
          <w:szCs w:val="22"/>
        </w:rPr>
      </w:pPr>
      <w:r>
        <w:rPr>
          <w:rFonts w:hint="eastAsia" w:cs="仿宋_GB2312"/>
          <w:szCs w:val="22"/>
        </w:rPr>
        <w:t>桓仁满族自治县</w:t>
      </w:r>
      <w:r>
        <w:rPr>
          <w:rFonts w:cs="仿宋_GB2312"/>
          <w:szCs w:val="22"/>
        </w:rPr>
        <w:t>环卫市场化运营项目已启动，</w:t>
      </w:r>
      <w:r>
        <w:rPr>
          <w:rFonts w:hint="eastAsia" w:cs="仿宋_GB2312"/>
          <w:szCs w:val="22"/>
        </w:rPr>
        <w:t>近期已大规模采购，预测</w:t>
      </w:r>
      <w:r>
        <w:rPr>
          <w:rFonts w:cs="仿宋_GB2312"/>
          <w:szCs w:val="22"/>
        </w:rPr>
        <w:t>2023-2025年期间暂</w:t>
      </w:r>
      <w:r>
        <w:rPr>
          <w:rFonts w:hint="eastAsia" w:cs="仿宋_GB2312"/>
          <w:szCs w:val="22"/>
        </w:rPr>
        <w:t>无</w:t>
      </w:r>
      <w:r>
        <w:rPr>
          <w:rFonts w:cs="仿宋_GB2312"/>
          <w:szCs w:val="22"/>
        </w:rPr>
        <w:t>增长</w:t>
      </w:r>
      <w:r>
        <w:rPr>
          <w:rFonts w:hint="eastAsia" w:cs="仿宋_GB2312"/>
          <w:szCs w:val="22"/>
        </w:rPr>
        <w:t>。</w:t>
      </w:r>
    </w:p>
    <w:p>
      <w:pPr>
        <w:spacing w:line="360" w:lineRule="auto"/>
        <w:ind w:firstLine="560" w:firstLineChars="200"/>
        <w:rPr>
          <w:rFonts w:hint="eastAsia" w:cs="仿宋_GB2312"/>
          <w:szCs w:val="22"/>
        </w:rPr>
      </w:pPr>
      <w:bookmarkStart w:id="61" w:name="_Hlk152770949"/>
      <w:r>
        <w:rPr>
          <w:rFonts w:hint="eastAsia" w:cs="仿宋_GB2312"/>
          <w:szCs w:val="22"/>
        </w:rPr>
        <w:t>目前桓仁满族自治县环卫车辆暂无电动汽车，预测远期达到环卫车辆电动化率达到</w:t>
      </w:r>
      <w:r>
        <w:rPr>
          <w:rFonts w:cs="仿宋_GB2312"/>
          <w:szCs w:val="22"/>
        </w:rPr>
        <w:t>20%</w:t>
      </w:r>
      <w:r>
        <w:rPr>
          <w:rFonts w:hint="eastAsia" w:cs="仿宋_GB2312"/>
          <w:szCs w:val="22"/>
        </w:rPr>
        <w:t>。</w:t>
      </w:r>
    </w:p>
    <w:bookmarkEnd w:id="61"/>
    <w:p>
      <w:pPr>
        <w:pStyle w:val="47"/>
        <w:numPr>
          <w:ilvl w:val="1"/>
          <w:numId w:val="8"/>
        </w:numPr>
        <w:spacing w:line="360" w:lineRule="auto"/>
        <w:ind w:left="0" w:firstLine="560"/>
        <w:rPr>
          <w:rFonts w:hint="eastAsia" w:cs="仿宋_GB2312"/>
          <w:szCs w:val="22"/>
        </w:rPr>
      </w:pPr>
      <w:r>
        <w:rPr>
          <w:rFonts w:cs="仿宋_GB2312"/>
          <w:szCs w:val="22"/>
        </w:rPr>
        <w:t>出租车</w:t>
      </w:r>
    </w:p>
    <w:p>
      <w:pPr>
        <w:spacing w:line="360" w:lineRule="auto"/>
        <w:ind w:firstLine="560" w:firstLineChars="200"/>
        <w:rPr>
          <w:rFonts w:hint="eastAsia" w:cs="仿宋_GB2312"/>
          <w:szCs w:val="22"/>
        </w:rPr>
      </w:pPr>
      <w:r>
        <w:rPr>
          <w:rFonts w:hint="eastAsia" w:cs="仿宋_GB2312"/>
          <w:szCs w:val="22"/>
        </w:rPr>
        <w:t>2</w:t>
      </w:r>
      <w:r>
        <w:rPr>
          <w:rFonts w:cs="仿宋_GB2312"/>
          <w:szCs w:val="22"/>
        </w:rPr>
        <w:t>015-2022</w:t>
      </w:r>
      <w:r>
        <w:rPr>
          <w:rFonts w:hint="eastAsia" w:cs="仿宋_GB2312"/>
          <w:szCs w:val="22"/>
        </w:rPr>
        <w:t>年出租车总量年均增速</w:t>
      </w:r>
      <w:r>
        <w:rPr>
          <w:rFonts w:cs="仿宋_GB2312"/>
          <w:szCs w:val="22"/>
        </w:rPr>
        <w:t>0.44%</w:t>
      </w:r>
      <w:r>
        <w:rPr>
          <w:rFonts w:hint="eastAsia" w:cs="仿宋_GB2312"/>
          <w:szCs w:val="22"/>
        </w:rPr>
        <w:t>，规划期间桓仁满族自治县出租车按此增长率增加，计算出租车总量。</w:t>
      </w:r>
    </w:p>
    <w:p>
      <w:pPr>
        <w:spacing w:line="360" w:lineRule="auto"/>
        <w:ind w:firstLine="560" w:firstLineChars="200"/>
        <w:rPr>
          <w:rFonts w:hint="eastAsia" w:cs="仿宋_GB2312"/>
          <w:szCs w:val="22"/>
        </w:rPr>
      </w:pPr>
      <w:r>
        <w:rPr>
          <w:rFonts w:hint="eastAsia" w:cs="仿宋_GB2312"/>
          <w:szCs w:val="22"/>
        </w:rPr>
        <w:t>依据省交通厅文件</w:t>
      </w:r>
      <w:r>
        <w:rPr>
          <w:rFonts w:cs="仿宋_GB2312"/>
          <w:szCs w:val="22"/>
        </w:rPr>
        <w:t>2023-</w:t>
      </w:r>
      <w:r>
        <w:rPr>
          <w:rFonts w:hint="eastAsia" w:cs="仿宋_GB2312"/>
          <w:szCs w:val="22"/>
        </w:rPr>
        <w:t>2</w:t>
      </w:r>
      <w:r>
        <w:rPr>
          <w:rFonts w:cs="仿宋_GB2312"/>
          <w:szCs w:val="22"/>
        </w:rPr>
        <w:t>025</w:t>
      </w:r>
      <w:r>
        <w:rPr>
          <w:rFonts w:hint="eastAsia" w:cs="仿宋_GB2312"/>
          <w:szCs w:val="22"/>
        </w:rPr>
        <w:t>年</w:t>
      </w:r>
      <w:r>
        <w:rPr>
          <w:rFonts w:cs="仿宋_GB2312"/>
          <w:szCs w:val="22"/>
        </w:rPr>
        <w:t>新增或更新巡游出租汽车新能源汽车占比达</w:t>
      </w:r>
      <w:r>
        <w:rPr>
          <w:rFonts w:hint="eastAsia" w:cs="仿宋_GB2312"/>
          <w:szCs w:val="22"/>
        </w:rPr>
        <w:t>到</w:t>
      </w:r>
      <w:r>
        <w:rPr>
          <w:rFonts w:cs="仿宋_GB2312"/>
          <w:szCs w:val="22"/>
        </w:rPr>
        <w:t>35%</w:t>
      </w:r>
      <w:r>
        <w:rPr>
          <w:rFonts w:hint="eastAsia" w:cs="仿宋_GB2312"/>
          <w:szCs w:val="22"/>
        </w:rPr>
        <w:t>，预测2</w:t>
      </w:r>
      <w:r>
        <w:rPr>
          <w:rFonts w:cs="仿宋_GB2312"/>
          <w:szCs w:val="22"/>
        </w:rPr>
        <w:t>028</w:t>
      </w:r>
      <w:r>
        <w:rPr>
          <w:rFonts w:hint="eastAsia" w:cs="仿宋_GB2312"/>
          <w:szCs w:val="22"/>
        </w:rPr>
        <w:t>年</w:t>
      </w:r>
      <w:r>
        <w:rPr>
          <w:rFonts w:cs="仿宋_GB2312"/>
          <w:szCs w:val="22"/>
        </w:rPr>
        <w:t>出租车</w:t>
      </w:r>
      <w:r>
        <w:rPr>
          <w:rFonts w:hint="eastAsia" w:cs="仿宋_GB2312"/>
          <w:szCs w:val="22"/>
        </w:rPr>
        <w:t>电动化率达到</w:t>
      </w:r>
      <w:r>
        <w:rPr>
          <w:rFonts w:cs="仿宋_GB2312"/>
          <w:szCs w:val="22"/>
        </w:rPr>
        <w:t>10%</w:t>
      </w:r>
      <w:r>
        <w:rPr>
          <w:rFonts w:hint="eastAsia" w:cs="仿宋_GB2312"/>
          <w:szCs w:val="22"/>
        </w:rPr>
        <w:t>以上，2</w:t>
      </w:r>
      <w:r>
        <w:rPr>
          <w:rFonts w:cs="仿宋_GB2312"/>
          <w:szCs w:val="22"/>
        </w:rPr>
        <w:t>035出租车</w:t>
      </w:r>
      <w:r>
        <w:rPr>
          <w:rFonts w:hint="eastAsia" w:cs="仿宋_GB2312"/>
          <w:szCs w:val="22"/>
        </w:rPr>
        <w:t>电动化率达到</w:t>
      </w:r>
      <w:r>
        <w:rPr>
          <w:rFonts w:cs="仿宋_GB2312"/>
          <w:szCs w:val="22"/>
        </w:rPr>
        <w:t>25%</w:t>
      </w:r>
      <w:r>
        <w:rPr>
          <w:rFonts w:hint="eastAsia" w:cs="仿宋_GB2312"/>
          <w:szCs w:val="22"/>
        </w:rPr>
        <w:t>以上。</w:t>
      </w:r>
    </w:p>
    <w:p>
      <w:pPr>
        <w:pStyle w:val="47"/>
        <w:numPr>
          <w:ilvl w:val="1"/>
          <w:numId w:val="8"/>
        </w:numPr>
        <w:spacing w:line="360" w:lineRule="auto"/>
        <w:ind w:left="0" w:firstLine="560"/>
        <w:rPr>
          <w:rFonts w:hint="eastAsia" w:cs="仿宋_GB2312"/>
          <w:szCs w:val="22"/>
        </w:rPr>
      </w:pPr>
      <w:r>
        <w:rPr>
          <w:rFonts w:cs="仿宋_GB2312"/>
          <w:szCs w:val="22"/>
        </w:rPr>
        <w:t>物流车</w:t>
      </w:r>
    </w:p>
    <w:p>
      <w:pPr>
        <w:spacing w:line="360" w:lineRule="auto"/>
        <w:ind w:firstLine="560" w:firstLineChars="200"/>
        <w:rPr>
          <w:rFonts w:hint="eastAsia" w:cs="仿宋_GB2312"/>
          <w:szCs w:val="22"/>
        </w:rPr>
      </w:pPr>
      <w:r>
        <w:rPr>
          <w:rFonts w:hint="eastAsia" w:cs="仿宋_GB2312"/>
          <w:szCs w:val="22"/>
        </w:rPr>
        <w:t>物流车2</w:t>
      </w:r>
      <w:r>
        <w:rPr>
          <w:rFonts w:cs="仿宋_GB2312"/>
          <w:szCs w:val="22"/>
        </w:rPr>
        <w:t>015-2022</w:t>
      </w:r>
      <w:r>
        <w:rPr>
          <w:rFonts w:hint="eastAsia" w:cs="仿宋_GB2312"/>
          <w:szCs w:val="22"/>
        </w:rPr>
        <w:t>年年均增长率</w:t>
      </w:r>
      <w:r>
        <w:rPr>
          <w:rFonts w:cs="仿宋_GB2312"/>
          <w:szCs w:val="22"/>
        </w:rPr>
        <w:t>4.49%</w:t>
      </w:r>
      <w:r>
        <w:rPr>
          <w:rFonts w:hint="eastAsia" w:cs="仿宋_GB2312"/>
          <w:szCs w:val="22"/>
        </w:rPr>
        <w:t>，规划期间桓仁满族自治县物流车按此增长率增加，计算物流车总量。</w:t>
      </w:r>
    </w:p>
    <w:p>
      <w:pPr>
        <w:spacing w:line="360" w:lineRule="auto"/>
        <w:ind w:firstLine="560" w:firstLineChars="200"/>
        <w:rPr>
          <w:rFonts w:hint="eastAsia" w:cs="仿宋_GB2312"/>
          <w:szCs w:val="22"/>
        </w:rPr>
      </w:pPr>
      <w:r>
        <w:rPr>
          <w:rFonts w:hint="eastAsia" w:cs="仿宋_GB2312"/>
          <w:szCs w:val="22"/>
        </w:rPr>
        <w:t>目前桓仁满族自治县物流车辆暂无电动汽车，预测远期达到物流车辆电动化率增量达到</w:t>
      </w:r>
      <w:r>
        <w:rPr>
          <w:rFonts w:cs="仿宋_GB2312"/>
          <w:szCs w:val="22"/>
        </w:rPr>
        <w:t>10%</w:t>
      </w:r>
      <w:r>
        <w:rPr>
          <w:rFonts w:hint="eastAsia" w:cs="仿宋_GB2312"/>
          <w:szCs w:val="22"/>
        </w:rPr>
        <w:t>以上。</w:t>
      </w:r>
    </w:p>
    <w:p>
      <w:pPr>
        <w:pStyle w:val="47"/>
        <w:numPr>
          <w:ilvl w:val="1"/>
          <w:numId w:val="8"/>
        </w:numPr>
        <w:spacing w:line="360" w:lineRule="auto"/>
        <w:ind w:left="0" w:firstLine="560"/>
        <w:rPr>
          <w:rFonts w:hint="eastAsia" w:cs="仿宋_GB2312"/>
          <w:szCs w:val="22"/>
        </w:rPr>
      </w:pPr>
      <w:r>
        <w:rPr>
          <w:rFonts w:cs="仿宋_GB2312"/>
          <w:szCs w:val="22"/>
        </w:rPr>
        <w:t>公务车</w:t>
      </w:r>
    </w:p>
    <w:p>
      <w:pPr>
        <w:spacing w:line="360" w:lineRule="auto"/>
        <w:ind w:firstLine="560" w:firstLineChars="200"/>
        <w:rPr>
          <w:rFonts w:hint="eastAsia" w:cs="仿宋_GB2312"/>
          <w:szCs w:val="22"/>
        </w:rPr>
      </w:pPr>
      <w:r>
        <w:rPr>
          <w:rFonts w:hint="eastAsia" w:cs="仿宋_GB2312"/>
          <w:szCs w:val="22"/>
        </w:rPr>
        <w:t>依据《中央国家机关所属事业单位公务用车管理办法（试行）》，公务用车优先配备使用新能源汽车，预测2</w:t>
      </w:r>
      <w:r>
        <w:rPr>
          <w:rFonts w:cs="仿宋_GB2312"/>
          <w:szCs w:val="22"/>
        </w:rPr>
        <w:t>023-</w:t>
      </w:r>
      <w:r>
        <w:rPr>
          <w:rFonts w:hint="eastAsia" w:cs="仿宋_GB2312"/>
          <w:szCs w:val="22"/>
        </w:rPr>
        <w:t>2</w:t>
      </w:r>
      <w:r>
        <w:rPr>
          <w:rFonts w:cs="仿宋_GB2312"/>
          <w:szCs w:val="22"/>
        </w:rPr>
        <w:t>028</w:t>
      </w:r>
      <w:r>
        <w:rPr>
          <w:rFonts w:hint="eastAsia" w:cs="仿宋_GB2312"/>
          <w:szCs w:val="22"/>
        </w:rPr>
        <w:t>年新采购车辆中电动汽车占比达到7</w:t>
      </w:r>
      <w:r>
        <w:rPr>
          <w:rFonts w:cs="仿宋_GB2312"/>
          <w:szCs w:val="22"/>
        </w:rPr>
        <w:t>0%</w:t>
      </w:r>
      <w:r>
        <w:rPr>
          <w:rFonts w:hint="eastAsia" w:cs="仿宋_GB2312"/>
          <w:szCs w:val="22"/>
        </w:rPr>
        <w:t>，</w:t>
      </w:r>
      <w:r>
        <w:rPr>
          <w:rFonts w:cs="仿宋_GB2312"/>
          <w:szCs w:val="22"/>
        </w:rPr>
        <w:t>2028</w:t>
      </w:r>
      <w:r>
        <w:rPr>
          <w:rFonts w:hint="eastAsia" w:cs="仿宋_GB2312"/>
          <w:szCs w:val="22"/>
        </w:rPr>
        <w:t>年公务车电动化率达到</w:t>
      </w:r>
      <w:r>
        <w:rPr>
          <w:rFonts w:cs="仿宋_GB2312"/>
          <w:szCs w:val="22"/>
        </w:rPr>
        <w:t>30%</w:t>
      </w:r>
      <w:r>
        <w:rPr>
          <w:rFonts w:hint="eastAsia" w:cs="仿宋_GB2312"/>
          <w:szCs w:val="22"/>
        </w:rPr>
        <w:t>，2</w:t>
      </w:r>
      <w:r>
        <w:rPr>
          <w:rFonts w:cs="仿宋_GB2312"/>
          <w:szCs w:val="22"/>
        </w:rPr>
        <w:t>035</w:t>
      </w:r>
      <w:r>
        <w:rPr>
          <w:rFonts w:hint="eastAsia" w:cs="仿宋_GB2312"/>
          <w:szCs w:val="22"/>
        </w:rPr>
        <w:t>年新采购车辆中电动汽车占比达到</w:t>
      </w:r>
      <w:r>
        <w:rPr>
          <w:rFonts w:cs="仿宋_GB2312"/>
          <w:szCs w:val="22"/>
        </w:rPr>
        <w:t>100%</w:t>
      </w:r>
      <w:r>
        <w:rPr>
          <w:rFonts w:hint="eastAsia" w:cs="仿宋_GB2312"/>
          <w:szCs w:val="22"/>
        </w:rPr>
        <w:t>，电动化率达到</w:t>
      </w:r>
      <w:r>
        <w:rPr>
          <w:rFonts w:cs="仿宋_GB2312"/>
          <w:szCs w:val="22"/>
        </w:rPr>
        <w:t>50%</w:t>
      </w:r>
      <w:r>
        <w:rPr>
          <w:rFonts w:hint="eastAsia" w:cs="仿宋_GB2312"/>
          <w:szCs w:val="22"/>
        </w:rPr>
        <w:t>。</w:t>
      </w:r>
    </w:p>
    <w:p>
      <w:pPr>
        <w:spacing w:line="360" w:lineRule="auto"/>
        <w:ind w:firstLine="560" w:firstLineChars="200"/>
        <w:rPr>
          <w:rFonts w:hint="eastAsia" w:cs="仿宋_GB2312"/>
          <w:szCs w:val="22"/>
        </w:rPr>
      </w:pPr>
      <w:r>
        <w:rPr>
          <w:rFonts w:hint="eastAsia" w:cs="仿宋_GB2312"/>
          <w:szCs w:val="22"/>
        </w:rPr>
        <w:t>电</w:t>
      </w:r>
      <w:r>
        <w:rPr>
          <w:rFonts w:cs="仿宋_GB2312"/>
          <w:szCs w:val="22"/>
        </w:rPr>
        <w:t>动汽车保有量预测</w:t>
      </w:r>
      <w:r>
        <w:rPr>
          <w:rFonts w:hint="eastAsia" w:cs="仿宋_GB2312"/>
          <w:szCs w:val="22"/>
        </w:rPr>
        <w:t>情况见下表</w:t>
      </w:r>
      <w:r>
        <w:rPr>
          <w:rFonts w:cs="仿宋_GB2312"/>
          <w:szCs w:val="22"/>
        </w:rPr>
        <w:t>。</w:t>
      </w:r>
    </w:p>
    <w:p>
      <w:pPr>
        <w:pStyle w:val="7"/>
      </w:pPr>
      <w:r>
        <w:rPr>
          <w:rFonts w:hint="eastAsia"/>
        </w:rPr>
        <w:t>桓仁满族自治县</w:t>
      </w:r>
      <w:r>
        <w:t>2022-2035年电动汽车保有量预测表</w:t>
      </w: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708"/>
        <w:gridCol w:w="1769"/>
        <w:gridCol w:w="615"/>
        <w:gridCol w:w="662"/>
        <w:gridCol w:w="663"/>
        <w:gridCol w:w="518"/>
        <w:gridCol w:w="663"/>
        <w:gridCol w:w="507"/>
        <w:gridCol w:w="532"/>
        <w:gridCol w:w="532"/>
        <w:gridCol w:w="616"/>
        <w:gridCol w:w="61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399" w:type="pct"/>
            <w:shd w:val="clear" w:color="auto" w:fill="D9D9D9"/>
            <w:noWrap/>
            <w:tcMar>
              <w:top w:w="30" w:type="dxa"/>
              <w:left w:w="45" w:type="dxa"/>
              <w:bottom w:w="30" w:type="dxa"/>
              <w:right w:w="45" w:type="dxa"/>
            </w:tcMar>
            <w:vAlign w:val="center"/>
          </w:tcPr>
          <w:p>
            <w:pPr>
              <w:spacing w:line="240" w:lineRule="auto"/>
              <w:jc w:val="center"/>
              <w:rPr>
                <w:rFonts w:hint="eastAsia"/>
                <w:b/>
                <w:sz w:val="19"/>
              </w:rPr>
            </w:pPr>
            <w:r>
              <w:rPr>
                <w:b/>
                <w:sz w:val="19"/>
              </w:rPr>
              <w:t>年份</w:t>
            </w:r>
          </w:p>
        </w:tc>
        <w:tc>
          <w:tcPr>
            <w:tcW w:w="990" w:type="pct"/>
            <w:shd w:val="clear" w:color="auto" w:fill="D9D9D9"/>
            <w:noWrap/>
            <w:tcMar>
              <w:top w:w="30" w:type="dxa"/>
              <w:left w:w="45" w:type="dxa"/>
              <w:bottom w:w="30" w:type="dxa"/>
              <w:right w:w="45" w:type="dxa"/>
            </w:tcMar>
            <w:vAlign w:val="center"/>
          </w:tcPr>
          <w:p>
            <w:pPr>
              <w:spacing w:line="240" w:lineRule="auto"/>
              <w:jc w:val="center"/>
              <w:rPr>
                <w:rFonts w:hint="eastAsia"/>
                <w:b/>
                <w:sz w:val="19"/>
              </w:rPr>
            </w:pPr>
            <w:r>
              <w:rPr>
                <w:b/>
                <w:sz w:val="19"/>
              </w:rPr>
              <w:t>分类</w:t>
            </w:r>
          </w:p>
        </w:tc>
        <w:tc>
          <w:tcPr>
            <w:tcW w:w="378" w:type="pct"/>
            <w:shd w:val="clear" w:color="auto" w:fill="D9D9D9"/>
            <w:tcMar>
              <w:top w:w="30" w:type="dxa"/>
              <w:left w:w="45" w:type="dxa"/>
              <w:bottom w:w="30" w:type="dxa"/>
              <w:right w:w="45" w:type="dxa"/>
            </w:tcMar>
            <w:vAlign w:val="center"/>
          </w:tcPr>
          <w:p>
            <w:pPr>
              <w:spacing w:line="240" w:lineRule="auto"/>
              <w:jc w:val="center"/>
              <w:rPr>
                <w:rFonts w:hint="eastAsia"/>
                <w:b/>
                <w:sz w:val="19"/>
              </w:rPr>
            </w:pPr>
            <w:r>
              <w:rPr>
                <w:b/>
                <w:sz w:val="19"/>
              </w:rPr>
              <w:t>私家车</w:t>
            </w:r>
          </w:p>
        </w:tc>
        <w:tc>
          <w:tcPr>
            <w:tcW w:w="406" w:type="pct"/>
            <w:shd w:val="clear" w:color="auto" w:fill="D9D9D9"/>
            <w:tcMar>
              <w:top w:w="30" w:type="dxa"/>
              <w:left w:w="45" w:type="dxa"/>
              <w:bottom w:w="30" w:type="dxa"/>
              <w:right w:w="45" w:type="dxa"/>
            </w:tcMar>
            <w:vAlign w:val="center"/>
          </w:tcPr>
          <w:p>
            <w:pPr>
              <w:spacing w:line="240" w:lineRule="auto"/>
              <w:jc w:val="center"/>
              <w:rPr>
                <w:rFonts w:hint="eastAsia"/>
                <w:b/>
                <w:sz w:val="19"/>
              </w:rPr>
            </w:pPr>
            <w:r>
              <w:rPr>
                <w:b/>
                <w:sz w:val="19"/>
              </w:rPr>
              <w:t>租赁车</w:t>
            </w:r>
          </w:p>
        </w:tc>
        <w:tc>
          <w:tcPr>
            <w:tcW w:w="406" w:type="pct"/>
            <w:shd w:val="clear" w:color="auto" w:fill="D9D9D9"/>
            <w:tcMar>
              <w:top w:w="30" w:type="dxa"/>
              <w:left w:w="45" w:type="dxa"/>
              <w:bottom w:w="30" w:type="dxa"/>
              <w:right w:w="45" w:type="dxa"/>
            </w:tcMar>
            <w:vAlign w:val="center"/>
          </w:tcPr>
          <w:p>
            <w:pPr>
              <w:spacing w:line="240" w:lineRule="auto"/>
              <w:jc w:val="center"/>
              <w:rPr>
                <w:rFonts w:hint="eastAsia"/>
                <w:b/>
                <w:sz w:val="19"/>
              </w:rPr>
            </w:pPr>
            <w:r>
              <w:rPr>
                <w:b/>
                <w:sz w:val="19"/>
              </w:rPr>
              <w:t>公交车</w:t>
            </w:r>
          </w:p>
        </w:tc>
        <w:tc>
          <w:tcPr>
            <w:tcW w:w="293" w:type="pct"/>
            <w:shd w:val="clear" w:color="auto" w:fill="D9D9D9"/>
            <w:tcMar>
              <w:top w:w="30" w:type="dxa"/>
              <w:left w:w="45" w:type="dxa"/>
              <w:bottom w:w="30" w:type="dxa"/>
              <w:right w:w="45" w:type="dxa"/>
            </w:tcMar>
            <w:vAlign w:val="center"/>
          </w:tcPr>
          <w:p>
            <w:pPr>
              <w:spacing w:line="240" w:lineRule="auto"/>
              <w:jc w:val="center"/>
              <w:rPr>
                <w:rFonts w:hint="eastAsia"/>
                <w:b/>
                <w:sz w:val="19"/>
              </w:rPr>
            </w:pPr>
            <w:r>
              <w:rPr>
                <w:b/>
                <w:sz w:val="19"/>
              </w:rPr>
              <w:t>环卫车</w:t>
            </w:r>
          </w:p>
        </w:tc>
        <w:tc>
          <w:tcPr>
            <w:tcW w:w="406" w:type="pct"/>
            <w:shd w:val="clear" w:color="auto" w:fill="D9D9D9"/>
            <w:tcMar>
              <w:top w:w="30" w:type="dxa"/>
              <w:left w:w="45" w:type="dxa"/>
              <w:bottom w:w="30" w:type="dxa"/>
              <w:right w:w="45" w:type="dxa"/>
            </w:tcMar>
            <w:vAlign w:val="center"/>
          </w:tcPr>
          <w:p>
            <w:pPr>
              <w:spacing w:line="240" w:lineRule="auto"/>
              <w:jc w:val="center"/>
              <w:rPr>
                <w:rFonts w:hint="eastAsia"/>
                <w:b/>
                <w:sz w:val="19"/>
              </w:rPr>
            </w:pPr>
            <w:r>
              <w:rPr>
                <w:b/>
                <w:sz w:val="19"/>
              </w:rPr>
              <w:t>出租车</w:t>
            </w:r>
          </w:p>
        </w:tc>
        <w:tc>
          <w:tcPr>
            <w:tcW w:w="313" w:type="pct"/>
            <w:shd w:val="clear" w:color="auto" w:fill="D9D9D9"/>
            <w:tcMar>
              <w:top w:w="30" w:type="dxa"/>
              <w:left w:w="45" w:type="dxa"/>
              <w:bottom w:w="30" w:type="dxa"/>
              <w:right w:w="45" w:type="dxa"/>
            </w:tcMar>
            <w:vAlign w:val="center"/>
          </w:tcPr>
          <w:p>
            <w:pPr>
              <w:spacing w:line="240" w:lineRule="auto"/>
              <w:jc w:val="center"/>
              <w:rPr>
                <w:rFonts w:hint="eastAsia"/>
                <w:b/>
                <w:sz w:val="19"/>
              </w:rPr>
            </w:pPr>
            <w:r>
              <w:rPr>
                <w:b/>
                <w:sz w:val="19"/>
              </w:rPr>
              <w:t>物流车</w:t>
            </w:r>
          </w:p>
        </w:tc>
        <w:tc>
          <w:tcPr>
            <w:tcW w:w="328" w:type="pct"/>
            <w:shd w:val="clear" w:color="auto" w:fill="D9D9D9"/>
            <w:tcMar>
              <w:top w:w="30" w:type="dxa"/>
              <w:left w:w="45" w:type="dxa"/>
              <w:bottom w:w="30" w:type="dxa"/>
              <w:right w:w="45" w:type="dxa"/>
            </w:tcMar>
            <w:vAlign w:val="center"/>
          </w:tcPr>
          <w:p>
            <w:pPr>
              <w:spacing w:line="240" w:lineRule="auto"/>
              <w:jc w:val="center"/>
              <w:rPr>
                <w:rFonts w:hint="eastAsia"/>
                <w:b/>
                <w:sz w:val="19"/>
              </w:rPr>
            </w:pPr>
            <w:r>
              <w:rPr>
                <w:b/>
                <w:sz w:val="19"/>
              </w:rPr>
              <w:t>公务车</w:t>
            </w:r>
          </w:p>
        </w:tc>
        <w:tc>
          <w:tcPr>
            <w:tcW w:w="328" w:type="pct"/>
            <w:shd w:val="clear" w:color="auto" w:fill="D9D9D9"/>
            <w:tcMar>
              <w:top w:w="30" w:type="dxa"/>
              <w:left w:w="45" w:type="dxa"/>
              <w:bottom w:w="30" w:type="dxa"/>
              <w:right w:w="45" w:type="dxa"/>
            </w:tcMar>
            <w:vAlign w:val="center"/>
          </w:tcPr>
          <w:p>
            <w:pPr>
              <w:spacing w:line="240" w:lineRule="auto"/>
              <w:jc w:val="center"/>
              <w:rPr>
                <w:rFonts w:hint="eastAsia"/>
                <w:b/>
                <w:sz w:val="19"/>
              </w:rPr>
            </w:pPr>
            <w:r>
              <w:rPr>
                <w:b/>
                <w:sz w:val="19"/>
              </w:rPr>
              <w:t>客运班车</w:t>
            </w:r>
          </w:p>
        </w:tc>
        <w:tc>
          <w:tcPr>
            <w:tcW w:w="378" w:type="pct"/>
            <w:shd w:val="clear" w:color="auto" w:fill="D9D9D9"/>
            <w:tcMar>
              <w:top w:w="30" w:type="dxa"/>
              <w:left w:w="45" w:type="dxa"/>
              <w:bottom w:w="30" w:type="dxa"/>
              <w:right w:w="45" w:type="dxa"/>
            </w:tcMar>
            <w:vAlign w:val="center"/>
          </w:tcPr>
          <w:p>
            <w:pPr>
              <w:spacing w:line="240" w:lineRule="auto"/>
              <w:jc w:val="center"/>
              <w:rPr>
                <w:rFonts w:hint="eastAsia"/>
                <w:b/>
                <w:sz w:val="19"/>
              </w:rPr>
            </w:pPr>
            <w:r>
              <w:rPr>
                <w:b/>
                <w:sz w:val="19"/>
              </w:rPr>
              <w:t>其他</w:t>
            </w:r>
          </w:p>
        </w:tc>
        <w:tc>
          <w:tcPr>
            <w:tcW w:w="378" w:type="pct"/>
            <w:shd w:val="clear" w:color="auto" w:fill="D9D9D9"/>
            <w:tcMar>
              <w:top w:w="30" w:type="dxa"/>
              <w:left w:w="45" w:type="dxa"/>
              <w:bottom w:w="30" w:type="dxa"/>
              <w:right w:w="45" w:type="dxa"/>
            </w:tcMar>
            <w:vAlign w:val="center"/>
          </w:tcPr>
          <w:p>
            <w:pPr>
              <w:spacing w:line="240" w:lineRule="auto"/>
              <w:jc w:val="center"/>
              <w:rPr>
                <w:rFonts w:hint="eastAsia"/>
                <w:b/>
                <w:sz w:val="19"/>
              </w:rPr>
            </w:pPr>
            <w:r>
              <w:rPr>
                <w:b/>
                <w:sz w:val="19"/>
              </w:rPr>
              <w:t>合计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99" w:type="pct"/>
            <w:vMerge w:val="restar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2022年</w:t>
            </w:r>
          </w:p>
        </w:tc>
        <w:tc>
          <w:tcPr>
            <w:tcW w:w="990"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汽车总量</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37987</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37</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62</w:t>
            </w:r>
          </w:p>
        </w:tc>
        <w:tc>
          <w:tcPr>
            <w:tcW w:w="293"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41</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810</w:t>
            </w:r>
          </w:p>
        </w:tc>
        <w:tc>
          <w:tcPr>
            <w:tcW w:w="313"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6980</w:t>
            </w:r>
          </w:p>
        </w:tc>
        <w:tc>
          <w:tcPr>
            <w:tcW w:w="32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437</w:t>
            </w:r>
          </w:p>
        </w:tc>
        <w:tc>
          <w:tcPr>
            <w:tcW w:w="32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54</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7848</w:t>
            </w:r>
          </w:p>
        </w:tc>
        <w:tc>
          <w:tcPr>
            <w:tcW w:w="378" w:type="pct"/>
            <w:shd w:val="clear" w:color="auto" w:fill="auto"/>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54256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99" w:type="pct"/>
            <w:vMerge w:val="continue"/>
            <w:shd w:val="clear" w:color="auto" w:fill="auto"/>
            <w:vAlign w:val="center"/>
          </w:tcPr>
          <w:p>
            <w:pPr>
              <w:spacing w:line="240" w:lineRule="auto"/>
              <w:jc w:val="center"/>
              <w:rPr>
                <w:rFonts w:hint="eastAsia"/>
                <w:sz w:val="19"/>
              </w:rPr>
            </w:pPr>
          </w:p>
        </w:tc>
        <w:tc>
          <w:tcPr>
            <w:tcW w:w="990"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电动汽车比例（%）</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0.45</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0</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38.71</w:t>
            </w:r>
          </w:p>
        </w:tc>
        <w:tc>
          <w:tcPr>
            <w:tcW w:w="293"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0</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6.3</w:t>
            </w:r>
          </w:p>
        </w:tc>
        <w:tc>
          <w:tcPr>
            <w:tcW w:w="313"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0</w:t>
            </w:r>
          </w:p>
        </w:tc>
        <w:tc>
          <w:tcPr>
            <w:tcW w:w="32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2.75</w:t>
            </w:r>
          </w:p>
        </w:tc>
        <w:tc>
          <w:tcPr>
            <w:tcW w:w="32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0</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0</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0.48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99" w:type="pct"/>
            <w:vMerge w:val="continue"/>
            <w:shd w:val="clear" w:color="auto" w:fill="auto"/>
            <w:vAlign w:val="center"/>
          </w:tcPr>
          <w:p>
            <w:pPr>
              <w:spacing w:line="240" w:lineRule="auto"/>
              <w:jc w:val="center"/>
              <w:rPr>
                <w:rFonts w:hint="eastAsia"/>
                <w:sz w:val="19"/>
              </w:rPr>
            </w:pPr>
          </w:p>
        </w:tc>
        <w:tc>
          <w:tcPr>
            <w:tcW w:w="990"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电动汽车总量</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171</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0</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24</w:t>
            </w:r>
          </w:p>
        </w:tc>
        <w:tc>
          <w:tcPr>
            <w:tcW w:w="293"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0</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51</w:t>
            </w:r>
          </w:p>
        </w:tc>
        <w:tc>
          <w:tcPr>
            <w:tcW w:w="313"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0</w:t>
            </w:r>
          </w:p>
        </w:tc>
        <w:tc>
          <w:tcPr>
            <w:tcW w:w="32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12</w:t>
            </w:r>
          </w:p>
        </w:tc>
        <w:tc>
          <w:tcPr>
            <w:tcW w:w="32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0</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0</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258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99" w:type="pct"/>
            <w:vMerge w:val="restart"/>
            <w:shd w:val="clear" w:color="auto" w:fill="auto"/>
            <w:tcMar>
              <w:top w:w="30" w:type="dxa"/>
              <w:left w:w="45" w:type="dxa"/>
              <w:bottom w:w="30" w:type="dxa"/>
              <w:right w:w="45" w:type="dxa"/>
            </w:tcMar>
            <w:vAlign w:val="center"/>
          </w:tcPr>
          <w:p>
            <w:pPr>
              <w:spacing w:line="240" w:lineRule="auto"/>
              <w:jc w:val="center"/>
              <w:rPr>
                <w:rFonts w:hint="eastAsia"/>
                <w:sz w:val="19"/>
              </w:rPr>
            </w:pPr>
            <w:r>
              <w:rPr>
                <w:sz w:val="19"/>
              </w:rPr>
              <w:t>2025年</w:t>
            </w:r>
          </w:p>
        </w:tc>
        <w:tc>
          <w:tcPr>
            <w:tcW w:w="990"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汽车总量</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41578</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34</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60</w:t>
            </w:r>
          </w:p>
        </w:tc>
        <w:tc>
          <w:tcPr>
            <w:tcW w:w="293"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80</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817</w:t>
            </w:r>
          </w:p>
        </w:tc>
        <w:tc>
          <w:tcPr>
            <w:tcW w:w="313"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7681</w:t>
            </w:r>
          </w:p>
        </w:tc>
        <w:tc>
          <w:tcPr>
            <w:tcW w:w="32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527</w:t>
            </w:r>
          </w:p>
        </w:tc>
        <w:tc>
          <w:tcPr>
            <w:tcW w:w="32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55</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9361</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60193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99" w:type="pct"/>
            <w:vMerge w:val="continue"/>
            <w:shd w:val="clear" w:color="auto" w:fill="auto"/>
            <w:vAlign w:val="center"/>
          </w:tcPr>
          <w:p>
            <w:pPr>
              <w:spacing w:line="240" w:lineRule="auto"/>
              <w:jc w:val="center"/>
              <w:rPr>
                <w:rFonts w:hint="eastAsia"/>
                <w:sz w:val="19"/>
              </w:rPr>
            </w:pPr>
          </w:p>
        </w:tc>
        <w:tc>
          <w:tcPr>
            <w:tcW w:w="990"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电动汽车比例（%）</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1.35</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11.76</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73.33</w:t>
            </w:r>
          </w:p>
        </w:tc>
        <w:tc>
          <w:tcPr>
            <w:tcW w:w="293"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0</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7.1</w:t>
            </w:r>
          </w:p>
        </w:tc>
        <w:tc>
          <w:tcPr>
            <w:tcW w:w="313"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0</w:t>
            </w:r>
          </w:p>
        </w:tc>
        <w:tc>
          <w:tcPr>
            <w:tcW w:w="32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4.17</w:t>
            </w:r>
          </w:p>
        </w:tc>
        <w:tc>
          <w:tcPr>
            <w:tcW w:w="32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7.27</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0</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1.15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99" w:type="pct"/>
            <w:vMerge w:val="continue"/>
            <w:shd w:val="clear" w:color="auto" w:fill="auto"/>
            <w:vAlign w:val="center"/>
          </w:tcPr>
          <w:p>
            <w:pPr>
              <w:spacing w:line="240" w:lineRule="auto"/>
              <w:jc w:val="center"/>
              <w:rPr>
                <w:rFonts w:hint="eastAsia"/>
                <w:sz w:val="19"/>
              </w:rPr>
            </w:pPr>
          </w:p>
        </w:tc>
        <w:tc>
          <w:tcPr>
            <w:tcW w:w="990"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电动汽车总量</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561</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4</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44</w:t>
            </w:r>
          </w:p>
        </w:tc>
        <w:tc>
          <w:tcPr>
            <w:tcW w:w="293"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0</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58</w:t>
            </w:r>
          </w:p>
        </w:tc>
        <w:tc>
          <w:tcPr>
            <w:tcW w:w="313"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0</w:t>
            </w:r>
          </w:p>
        </w:tc>
        <w:tc>
          <w:tcPr>
            <w:tcW w:w="32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22</w:t>
            </w:r>
          </w:p>
        </w:tc>
        <w:tc>
          <w:tcPr>
            <w:tcW w:w="32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4</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 xml:space="preserve">0 </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 xml:space="preserve">693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99" w:type="pct"/>
            <w:vMerge w:val="restart"/>
            <w:shd w:val="clear" w:color="auto" w:fill="auto"/>
            <w:tcMar>
              <w:top w:w="30" w:type="dxa"/>
              <w:left w:w="45" w:type="dxa"/>
              <w:bottom w:w="30" w:type="dxa"/>
              <w:right w:w="45" w:type="dxa"/>
            </w:tcMar>
            <w:vAlign w:val="center"/>
          </w:tcPr>
          <w:p>
            <w:pPr>
              <w:spacing w:line="240" w:lineRule="auto"/>
              <w:jc w:val="center"/>
              <w:rPr>
                <w:rFonts w:hint="eastAsia"/>
                <w:sz w:val="19"/>
              </w:rPr>
            </w:pPr>
            <w:r>
              <w:rPr>
                <w:sz w:val="19"/>
              </w:rPr>
              <w:t>2028年</w:t>
            </w:r>
          </w:p>
        </w:tc>
        <w:tc>
          <w:tcPr>
            <w:tcW w:w="990"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汽车总量</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44087</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30</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58</w:t>
            </w:r>
          </w:p>
        </w:tc>
        <w:tc>
          <w:tcPr>
            <w:tcW w:w="293"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91</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828</w:t>
            </w:r>
          </w:p>
        </w:tc>
        <w:tc>
          <w:tcPr>
            <w:tcW w:w="313"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8366</w:t>
            </w:r>
          </w:p>
        </w:tc>
        <w:tc>
          <w:tcPr>
            <w:tcW w:w="32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699</w:t>
            </w:r>
          </w:p>
        </w:tc>
        <w:tc>
          <w:tcPr>
            <w:tcW w:w="32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56</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10501</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64716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99" w:type="pct"/>
            <w:vMerge w:val="continue"/>
            <w:shd w:val="clear" w:color="auto" w:fill="auto"/>
            <w:vAlign w:val="center"/>
          </w:tcPr>
          <w:p>
            <w:pPr>
              <w:spacing w:line="240" w:lineRule="auto"/>
              <w:jc w:val="center"/>
              <w:rPr>
                <w:rFonts w:hint="eastAsia"/>
                <w:sz w:val="19"/>
              </w:rPr>
            </w:pPr>
          </w:p>
        </w:tc>
        <w:tc>
          <w:tcPr>
            <w:tcW w:w="990"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电动汽车比例（%）</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2.35</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23.33</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91.38</w:t>
            </w:r>
          </w:p>
        </w:tc>
        <w:tc>
          <w:tcPr>
            <w:tcW w:w="293"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0</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10.02</w:t>
            </w:r>
          </w:p>
        </w:tc>
        <w:tc>
          <w:tcPr>
            <w:tcW w:w="313"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0</w:t>
            </w:r>
          </w:p>
        </w:tc>
        <w:tc>
          <w:tcPr>
            <w:tcW w:w="32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29.9</w:t>
            </w:r>
          </w:p>
        </w:tc>
        <w:tc>
          <w:tcPr>
            <w:tcW w:w="32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12.5</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0</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2.15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99" w:type="pct"/>
            <w:vMerge w:val="continue"/>
            <w:shd w:val="clear" w:color="auto" w:fill="auto"/>
            <w:vAlign w:val="center"/>
          </w:tcPr>
          <w:p>
            <w:pPr>
              <w:spacing w:line="240" w:lineRule="auto"/>
              <w:jc w:val="center"/>
              <w:rPr>
                <w:rFonts w:hint="eastAsia"/>
                <w:sz w:val="19"/>
              </w:rPr>
            </w:pPr>
          </w:p>
        </w:tc>
        <w:tc>
          <w:tcPr>
            <w:tcW w:w="990"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电动汽车总量</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1034</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7</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53</w:t>
            </w:r>
          </w:p>
        </w:tc>
        <w:tc>
          <w:tcPr>
            <w:tcW w:w="293"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0</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83</w:t>
            </w:r>
          </w:p>
        </w:tc>
        <w:tc>
          <w:tcPr>
            <w:tcW w:w="313"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0</w:t>
            </w:r>
          </w:p>
        </w:tc>
        <w:tc>
          <w:tcPr>
            <w:tcW w:w="32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209</w:t>
            </w:r>
          </w:p>
        </w:tc>
        <w:tc>
          <w:tcPr>
            <w:tcW w:w="32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7</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 xml:space="preserve">0 </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 xml:space="preserve">1393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99" w:type="pct"/>
            <w:vMerge w:val="restart"/>
            <w:shd w:val="clear" w:color="auto" w:fill="auto"/>
            <w:tcMar>
              <w:top w:w="30" w:type="dxa"/>
              <w:left w:w="45" w:type="dxa"/>
              <w:bottom w:w="30" w:type="dxa"/>
              <w:right w:w="45" w:type="dxa"/>
            </w:tcMar>
            <w:vAlign w:val="center"/>
          </w:tcPr>
          <w:p>
            <w:pPr>
              <w:spacing w:line="240" w:lineRule="auto"/>
              <w:jc w:val="center"/>
              <w:rPr>
                <w:rFonts w:hint="eastAsia"/>
                <w:sz w:val="19"/>
              </w:rPr>
            </w:pPr>
            <w:r>
              <w:rPr>
                <w:sz w:val="19"/>
              </w:rPr>
              <w:t>2035年</w:t>
            </w:r>
          </w:p>
        </w:tc>
        <w:tc>
          <w:tcPr>
            <w:tcW w:w="990"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汽车总量</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51325</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23</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53</w:t>
            </w:r>
          </w:p>
        </w:tc>
        <w:tc>
          <w:tcPr>
            <w:tcW w:w="293"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120</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854</w:t>
            </w:r>
          </w:p>
        </w:tc>
        <w:tc>
          <w:tcPr>
            <w:tcW w:w="313"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9194</w:t>
            </w:r>
          </w:p>
        </w:tc>
        <w:tc>
          <w:tcPr>
            <w:tcW w:w="32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971</w:t>
            </w:r>
          </w:p>
        </w:tc>
        <w:tc>
          <w:tcPr>
            <w:tcW w:w="32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59</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11515</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74114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99" w:type="pct"/>
            <w:vMerge w:val="continue"/>
            <w:shd w:val="clear" w:color="auto" w:fill="auto"/>
            <w:vAlign w:val="center"/>
          </w:tcPr>
          <w:p>
            <w:pPr>
              <w:spacing w:line="240" w:lineRule="auto"/>
              <w:jc w:val="center"/>
              <w:rPr>
                <w:rFonts w:hint="eastAsia"/>
                <w:sz w:val="19"/>
              </w:rPr>
            </w:pPr>
          </w:p>
        </w:tc>
        <w:tc>
          <w:tcPr>
            <w:tcW w:w="990"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电动汽车比例（%）</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6.3</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39.13</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100</w:t>
            </w:r>
          </w:p>
        </w:tc>
        <w:tc>
          <w:tcPr>
            <w:tcW w:w="293"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21.67</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27.05</w:t>
            </w:r>
          </w:p>
        </w:tc>
        <w:tc>
          <w:tcPr>
            <w:tcW w:w="313"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7.44</w:t>
            </w:r>
          </w:p>
        </w:tc>
        <w:tc>
          <w:tcPr>
            <w:tcW w:w="32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49.54</w:t>
            </w:r>
          </w:p>
        </w:tc>
        <w:tc>
          <w:tcPr>
            <w:tcW w:w="32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42.37</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0</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6.4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99" w:type="pct"/>
            <w:vMerge w:val="continue"/>
            <w:shd w:val="clear" w:color="auto" w:fill="auto"/>
            <w:vAlign w:val="center"/>
          </w:tcPr>
          <w:p>
            <w:pPr>
              <w:spacing w:line="240" w:lineRule="auto"/>
              <w:jc w:val="center"/>
              <w:rPr>
                <w:rFonts w:hint="eastAsia"/>
                <w:sz w:val="19"/>
              </w:rPr>
            </w:pPr>
          </w:p>
        </w:tc>
        <w:tc>
          <w:tcPr>
            <w:tcW w:w="990"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电动汽车总量</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3233</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9</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53</w:t>
            </w:r>
          </w:p>
        </w:tc>
        <w:tc>
          <w:tcPr>
            <w:tcW w:w="293"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26</w:t>
            </w:r>
          </w:p>
        </w:tc>
        <w:tc>
          <w:tcPr>
            <w:tcW w:w="406"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231</w:t>
            </w:r>
          </w:p>
        </w:tc>
        <w:tc>
          <w:tcPr>
            <w:tcW w:w="313"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684</w:t>
            </w:r>
          </w:p>
        </w:tc>
        <w:tc>
          <w:tcPr>
            <w:tcW w:w="32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481</w:t>
            </w:r>
          </w:p>
        </w:tc>
        <w:tc>
          <w:tcPr>
            <w:tcW w:w="32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25</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 xml:space="preserve">0 </w:t>
            </w:r>
          </w:p>
        </w:tc>
        <w:tc>
          <w:tcPr>
            <w:tcW w:w="37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 xml:space="preserve">4742 </w:t>
            </w:r>
          </w:p>
        </w:tc>
      </w:tr>
    </w:tbl>
    <w:p>
      <w:pPr>
        <w:pStyle w:val="3"/>
      </w:pPr>
      <w:bookmarkStart w:id="62" w:name="_Toc2679"/>
      <w:r>
        <w:rPr>
          <w:rFonts w:hint="eastAsia"/>
          <w:color w:val="000000" w:themeColor="text1"/>
          <w:szCs w:val="22"/>
          <w14:textFill>
            <w14:solidFill>
              <w14:schemeClr w14:val="tx1"/>
            </w14:solidFill>
          </w14:textFill>
        </w:rPr>
        <w:t>公共</w:t>
      </w:r>
      <w:r>
        <w:rPr>
          <w:color w:val="000000" w:themeColor="text1"/>
          <w:szCs w:val="22"/>
          <w14:textFill>
            <w14:solidFill>
              <w14:schemeClr w14:val="tx1"/>
            </w14:solidFill>
          </w14:textFill>
        </w:rPr>
        <w:t>充电设施</w:t>
      </w:r>
      <w:r>
        <w:rPr>
          <w:rFonts w:hint="eastAsia"/>
          <w:color w:val="000000" w:themeColor="text1"/>
          <w:szCs w:val="22"/>
          <w14:textFill>
            <w14:solidFill>
              <w14:schemeClr w14:val="tx1"/>
            </w14:solidFill>
          </w14:textFill>
        </w:rPr>
        <w:t>需求预测</w:t>
      </w:r>
      <w:bookmarkEnd w:id="60"/>
      <w:bookmarkEnd w:id="62"/>
    </w:p>
    <w:p>
      <w:pPr>
        <w:spacing w:line="360" w:lineRule="auto"/>
        <w:ind w:firstLine="560"/>
        <w:rPr>
          <w:rFonts w:hint="eastAsia"/>
        </w:rPr>
      </w:pPr>
      <w:r>
        <w:rPr>
          <w:rFonts w:hint="eastAsia"/>
        </w:rPr>
        <w:t>采用以下两种方法预测充电设施需求。</w:t>
      </w:r>
    </w:p>
    <w:p>
      <w:pPr>
        <w:pStyle w:val="4"/>
      </w:pPr>
      <w:r>
        <w:t>同时率系数法</w:t>
      </w:r>
    </w:p>
    <w:p>
      <w:pPr>
        <w:ind w:firstLine="560"/>
        <w:rPr>
          <w:rFonts w:hint="eastAsia"/>
        </w:rPr>
      </w:pPr>
      <w:r>
        <w:t>根据各类型电动汽车保有量预测值，结合不同类型电动汽车的充电特性，设置电动汽车充电同时率系数，“叠加”得到公共充电设施的规模需求。</w:t>
      </w:r>
    </w:p>
    <w:p>
      <w:pPr>
        <w:spacing w:line="240" w:lineRule="auto"/>
        <w:ind w:firstLine="561"/>
        <w:rPr>
          <w:rFonts w:hint="eastAsia"/>
          <w:szCs w:val="28"/>
        </w:rPr>
      </w:pPr>
      <m:oMathPara>
        <m:oMath>
          <m:sSub>
            <m:sSubPr>
              <m:ctrlPr>
                <w:rPr>
                  <w:rFonts w:ascii="Cambria Math" w:hAnsi="Cambria Math"/>
                  <w:i/>
                  <w:szCs w:val="28"/>
                </w:rPr>
              </m:ctrlPr>
            </m:sSubPr>
            <m:e>
              <m:r>
                <m:rPr/>
                <w:rPr>
                  <w:rFonts w:ascii="Cambria Math" w:hAnsi="Cambria Math"/>
                  <w:szCs w:val="28"/>
                </w:rPr>
                <m:t>N</m:t>
              </m:r>
              <m:ctrlPr>
                <w:rPr>
                  <w:rFonts w:ascii="Cambria Math" w:hAnsi="Cambria Math"/>
                  <w:i/>
                  <w:szCs w:val="28"/>
                </w:rPr>
              </m:ctrlPr>
            </m:e>
            <m:sub>
              <m:r>
                <m:rPr/>
                <w:rPr>
                  <w:rFonts w:ascii="Cambria Math" w:hAnsi="Cambria Math"/>
                  <w:szCs w:val="28"/>
                </w:rPr>
                <m:t>公共</m:t>
              </m:r>
              <m:ctrlPr>
                <w:rPr>
                  <w:rFonts w:ascii="Cambria Math" w:hAnsi="Cambria Math"/>
                  <w:i/>
                  <w:szCs w:val="28"/>
                </w:rPr>
              </m:ctrlPr>
            </m:sub>
          </m:sSub>
          <m:r>
            <m:rPr>
              <m:sty m:val="p"/>
            </m:rPr>
            <w:rPr>
              <w:rFonts w:ascii="Cambria Math" w:hAnsi="Cambria Math"/>
              <w:szCs w:val="28"/>
            </w:rPr>
            <m:t>=</m:t>
          </m:r>
          <m:nary>
            <m:naryPr>
              <m:chr m:val="∑"/>
              <m:limLoc m:val="undOvr"/>
              <m:ctrlPr>
                <w:rPr>
                  <w:rFonts w:ascii="Cambria Math" w:hAnsi="Cambria Math"/>
                  <w:i/>
                  <w:szCs w:val="28"/>
                </w:rPr>
              </m:ctrlPr>
            </m:naryPr>
            <m:sub>
              <m:r>
                <m:rPr/>
                <w:rPr>
                  <w:rFonts w:ascii="Cambria Math" w:hAnsi="Cambria Math"/>
                  <w:szCs w:val="28"/>
                </w:rPr>
                <m:t>i=1</m:t>
              </m:r>
              <m:ctrlPr>
                <w:rPr>
                  <w:rFonts w:ascii="Cambria Math" w:hAnsi="Cambria Math"/>
                  <w:i/>
                  <w:szCs w:val="28"/>
                </w:rPr>
              </m:ctrlPr>
            </m:sub>
            <m:sup>
              <m:r>
                <m:rPr/>
                <w:rPr>
                  <w:rFonts w:ascii="Cambria Math" w:hAnsi="Cambria Math"/>
                  <w:szCs w:val="28"/>
                </w:rPr>
                <m:t>i=n</m:t>
              </m:r>
              <m:ctrlPr>
                <w:rPr>
                  <w:rFonts w:ascii="Cambria Math" w:hAnsi="Cambria Math"/>
                  <w:i/>
                  <w:szCs w:val="28"/>
                </w:rPr>
              </m:ctrlPr>
            </m:sup>
            <m:e>
              <m:sSub>
                <m:sSubPr>
                  <m:ctrlPr>
                    <w:rPr>
                      <w:rFonts w:ascii="Cambria Math" w:hAnsi="Cambria Math"/>
                      <w:i/>
                      <w:szCs w:val="28"/>
                    </w:rPr>
                  </m:ctrlPr>
                </m:sSubPr>
                <m:e>
                  <m:r>
                    <m:rPr/>
                    <w:rPr>
                      <w:rFonts w:ascii="Cambria Math" w:hAnsi="Cambria Math"/>
                      <w:szCs w:val="28"/>
                    </w:rPr>
                    <m:t>N</m:t>
                  </m:r>
                  <m:ctrlPr>
                    <w:rPr>
                      <w:rFonts w:ascii="Cambria Math" w:hAnsi="Cambria Math"/>
                      <w:i/>
                      <w:szCs w:val="28"/>
                    </w:rPr>
                  </m:ctrlPr>
                </m:e>
                <m:sub>
                  <m:r>
                    <m:rPr/>
                    <w:rPr>
                      <w:rFonts w:ascii="Cambria Math" w:hAnsi="Cambria Math"/>
                      <w:szCs w:val="28"/>
                    </w:rPr>
                    <m:t>i</m:t>
                  </m:r>
                  <m:ctrlPr>
                    <w:rPr>
                      <w:rFonts w:ascii="Cambria Math" w:hAnsi="Cambria Math"/>
                      <w:i/>
                      <w:szCs w:val="28"/>
                    </w:rPr>
                  </m:ctrlPr>
                </m:sub>
              </m:sSub>
              <m:r>
                <m:rPr/>
                <w:rPr>
                  <w:rFonts w:ascii="Cambria Math" w:hAnsi="Cambria Math"/>
                  <w:szCs w:val="28"/>
                </w:rPr>
                <m:t>×</m:t>
              </m:r>
              <m:sSub>
                <m:sSubPr>
                  <m:ctrlPr>
                    <w:rPr>
                      <w:rFonts w:ascii="Cambria Math" w:hAnsi="Cambria Math"/>
                      <w:i/>
                      <w:szCs w:val="28"/>
                    </w:rPr>
                  </m:ctrlPr>
                </m:sSubPr>
                <m:e>
                  <m:r>
                    <m:rPr/>
                    <w:rPr>
                      <w:rFonts w:ascii="Cambria Math" w:hAnsi="Cambria Math"/>
                      <w:szCs w:val="28"/>
                    </w:rPr>
                    <m:t>τ</m:t>
                  </m:r>
                  <m:ctrlPr>
                    <w:rPr>
                      <w:rFonts w:ascii="Cambria Math" w:hAnsi="Cambria Math"/>
                      <w:i/>
                      <w:szCs w:val="28"/>
                    </w:rPr>
                  </m:ctrlPr>
                </m:e>
                <m:sub>
                  <m:r>
                    <m:rPr/>
                    <w:rPr>
                      <w:rFonts w:ascii="Cambria Math" w:hAnsi="Cambria Math"/>
                      <w:szCs w:val="28"/>
                    </w:rPr>
                    <m:t>i</m:t>
                  </m:r>
                  <m:ctrlPr>
                    <w:rPr>
                      <w:rFonts w:ascii="Cambria Math" w:hAnsi="Cambria Math"/>
                      <w:i/>
                      <w:szCs w:val="28"/>
                    </w:rPr>
                  </m:ctrlPr>
                </m:sub>
              </m:sSub>
              <m:r>
                <m:rPr/>
                <w:rPr>
                  <w:rFonts w:ascii="Cambria Math" w:hAnsi="Cambria Math"/>
                  <w:szCs w:val="28"/>
                </w:rPr>
                <m:t>×</m:t>
              </m:r>
              <m:sSub>
                <m:sSubPr>
                  <m:ctrlPr>
                    <w:rPr>
                      <w:rFonts w:ascii="Cambria Math" w:hAnsi="Cambria Math"/>
                      <w:i/>
                      <w:szCs w:val="28"/>
                    </w:rPr>
                  </m:ctrlPr>
                </m:sSubPr>
                <m:e>
                  <m:r>
                    <m:rPr/>
                    <w:rPr>
                      <w:rFonts w:ascii="Cambria Math" w:hAnsi="Cambria Math"/>
                      <w:szCs w:val="28"/>
                    </w:rPr>
                    <m:t>τ</m:t>
                  </m:r>
                  <m:ctrlPr>
                    <w:rPr>
                      <w:rFonts w:ascii="Cambria Math" w:hAnsi="Cambria Math"/>
                      <w:i/>
                      <w:szCs w:val="28"/>
                    </w:rPr>
                  </m:ctrlPr>
                </m:e>
                <m:sub>
                  <m:r>
                    <m:rPr/>
                    <w:rPr>
                      <w:rFonts w:ascii="Cambria Math" w:hAnsi="Cambria Math"/>
                      <w:szCs w:val="28"/>
                    </w:rPr>
                    <m:t>公共</m:t>
                  </m:r>
                  <m:ctrlPr>
                    <w:rPr>
                      <w:rFonts w:ascii="Cambria Math" w:hAnsi="Cambria Math"/>
                      <w:i/>
                      <w:szCs w:val="28"/>
                    </w:rPr>
                  </m:ctrlPr>
                </m:sub>
              </m:sSub>
              <m:ctrlPr>
                <w:rPr>
                  <w:rFonts w:ascii="Cambria Math" w:hAnsi="Cambria Math"/>
                  <w:i/>
                  <w:szCs w:val="28"/>
                </w:rPr>
              </m:ctrlPr>
            </m:e>
          </m:nary>
        </m:oMath>
      </m:oMathPara>
    </w:p>
    <w:p>
      <w:pPr>
        <w:ind w:firstLine="560"/>
        <w:rPr>
          <w:rFonts w:hint="eastAsia"/>
          <w:szCs w:val="28"/>
        </w:rPr>
      </w:pPr>
      <m:oMathPara>
        <m:oMath>
          <m:sSub>
            <m:sSubPr>
              <m:ctrlPr>
                <w:rPr>
                  <w:rFonts w:ascii="Cambria Math" w:hAnsi="Cambria Math"/>
                  <w:i/>
                  <w:szCs w:val="28"/>
                </w:rPr>
              </m:ctrlPr>
            </m:sSubPr>
            <m:e>
              <m:r>
                <m:rPr/>
                <w:rPr>
                  <w:rFonts w:ascii="Cambria Math" w:hAnsi="Cambria Math"/>
                  <w:szCs w:val="28"/>
                </w:rPr>
                <m:t>P</m:t>
              </m:r>
              <m:ctrlPr>
                <w:rPr>
                  <w:rFonts w:ascii="Cambria Math" w:hAnsi="Cambria Math"/>
                  <w:i/>
                  <w:szCs w:val="28"/>
                </w:rPr>
              </m:ctrlPr>
            </m:e>
            <m:sub>
              <m:r>
                <m:rPr/>
                <w:rPr>
                  <w:rFonts w:ascii="Cambria Math" w:hAnsi="Cambria Math"/>
                  <w:szCs w:val="28"/>
                </w:rPr>
                <m:t>公共</m:t>
              </m:r>
              <m:ctrlPr>
                <w:rPr>
                  <w:rFonts w:ascii="Cambria Math" w:hAnsi="Cambria Math"/>
                  <w:i/>
                  <w:szCs w:val="28"/>
                </w:rPr>
              </m:ctrlPr>
            </m:sub>
          </m:sSub>
          <m:r>
            <m:rPr/>
            <w:rPr>
              <w:rFonts w:hint="eastAsia" w:ascii="Cambria Math" w:hAnsi="Cambria Math"/>
              <w:szCs w:val="28"/>
            </w:rPr>
            <m:t>=</m:t>
          </m:r>
          <m:sSub>
            <m:sSubPr>
              <m:ctrlPr>
                <w:rPr>
                  <w:rFonts w:ascii="Cambria Math" w:hAnsi="Cambria Math"/>
                  <w:i/>
                  <w:szCs w:val="28"/>
                </w:rPr>
              </m:ctrlPr>
            </m:sSubPr>
            <m:e>
              <m:r>
                <m:rPr/>
                <w:rPr>
                  <w:rFonts w:ascii="Cambria Math" w:hAnsi="Cambria Math"/>
                  <w:szCs w:val="28"/>
                </w:rPr>
                <m:t>N</m:t>
              </m:r>
              <m:ctrlPr>
                <w:rPr>
                  <w:rFonts w:ascii="Cambria Math" w:hAnsi="Cambria Math"/>
                  <w:i/>
                  <w:szCs w:val="28"/>
                </w:rPr>
              </m:ctrlPr>
            </m:e>
            <m:sub>
              <m:r>
                <m:rPr/>
                <w:rPr>
                  <w:rFonts w:ascii="Cambria Math" w:hAnsi="Cambria Math"/>
                  <w:szCs w:val="28"/>
                </w:rPr>
                <m:t>公共</m:t>
              </m:r>
              <m:ctrlPr>
                <w:rPr>
                  <w:rFonts w:ascii="Cambria Math" w:hAnsi="Cambria Math"/>
                  <w:i/>
                  <w:szCs w:val="28"/>
                </w:rPr>
              </m:ctrlPr>
            </m:sub>
          </m:sSub>
          <m:r>
            <m:rPr/>
            <w:rPr>
              <w:rFonts w:ascii="Cambria Math" w:hAnsi="Cambria Math"/>
              <w:szCs w:val="28"/>
            </w:rPr>
            <m:t>×</m:t>
          </m:r>
          <m:sSub>
            <m:sSubPr>
              <m:ctrlPr>
                <w:rPr>
                  <w:rFonts w:ascii="Cambria Math" w:hAnsi="Cambria Math"/>
                  <w:i/>
                  <w:szCs w:val="28"/>
                </w:rPr>
              </m:ctrlPr>
            </m:sSubPr>
            <m:e>
              <m:r>
                <m:rPr/>
                <w:rPr>
                  <w:rFonts w:ascii="Cambria Math" w:hAnsi="Cambria Math"/>
                  <w:szCs w:val="28"/>
                </w:rPr>
                <m:t>P</m:t>
              </m:r>
              <m:ctrlPr>
                <w:rPr>
                  <w:rFonts w:ascii="Cambria Math" w:hAnsi="Cambria Math"/>
                  <w:i/>
                  <w:szCs w:val="28"/>
                </w:rPr>
              </m:ctrlPr>
            </m:e>
            <m:sub>
              <m:r>
                <m:rPr/>
                <w:rPr>
                  <w:rFonts w:ascii="Cambria Math" w:hAnsi="Cambria Math"/>
                  <w:szCs w:val="28"/>
                </w:rPr>
                <m:t>标准桩</m:t>
              </m:r>
              <m:ctrlPr>
                <w:rPr>
                  <w:rFonts w:ascii="Cambria Math" w:hAnsi="Cambria Math"/>
                  <w:i/>
                  <w:szCs w:val="28"/>
                </w:rPr>
              </m:ctrlPr>
            </m:sub>
          </m:sSub>
        </m:oMath>
      </m:oMathPara>
    </w:p>
    <w:p>
      <w:pPr>
        <w:ind w:firstLine="560"/>
        <w:rPr>
          <w:rFonts w:ascii="仿宋" w:hAnsi="仿宋"/>
        </w:rPr>
      </w:pPr>
      <w:r>
        <w:rPr>
          <w:rFonts w:ascii="仿宋" w:hAnsi="仿宋"/>
        </w:rPr>
        <w:t>式中：</w:t>
      </w:r>
    </w:p>
    <w:p>
      <w:pPr>
        <w:ind w:firstLine="560"/>
        <w:rPr>
          <w:rFonts w:hint="eastAsia"/>
          <w:szCs w:val="28"/>
        </w:rPr>
      </w:pPr>
      <m:oMath>
        <m:sSub>
          <m:sSubPr>
            <m:ctrlPr>
              <w:rPr>
                <w:rFonts w:ascii="Cambria Math" w:hAnsi="Cambria Math"/>
                <w:i/>
                <w:szCs w:val="28"/>
              </w:rPr>
            </m:ctrlPr>
          </m:sSubPr>
          <m:e>
            <m:r>
              <m:rPr/>
              <w:rPr>
                <w:rFonts w:ascii="Cambria Math" w:hAnsi="Cambria Math"/>
                <w:szCs w:val="28"/>
              </w:rPr>
              <m:t>N</m:t>
            </m:r>
            <m:ctrlPr>
              <w:rPr>
                <w:rFonts w:ascii="Cambria Math" w:hAnsi="Cambria Math"/>
                <w:i/>
                <w:szCs w:val="28"/>
              </w:rPr>
            </m:ctrlPr>
          </m:e>
          <m:sub>
            <m:r>
              <m:rPr>
                <m:sty m:val="p"/>
              </m:rPr>
              <w:rPr>
                <w:rFonts w:ascii="Cambria Math" w:hAnsi="Cambria Math"/>
                <w:szCs w:val="28"/>
              </w:rPr>
              <m:t>i</m:t>
            </m:r>
            <m:ctrlPr>
              <w:rPr>
                <w:rFonts w:ascii="Cambria Math" w:hAnsi="Cambria Math"/>
                <w:i/>
                <w:szCs w:val="28"/>
              </w:rPr>
            </m:ctrlPr>
          </m:sub>
        </m:sSub>
      </m:oMath>
      <w:r>
        <w:rPr>
          <w:iCs/>
          <w:szCs w:val="28"/>
        </w:rPr>
        <w:t>—</w:t>
      </w:r>
      <w:r>
        <w:rPr>
          <w:szCs w:val="28"/>
        </w:rPr>
        <w:t>第</w:t>
      </w:r>
      <w:r>
        <w:rPr>
          <w:i/>
          <w:iCs/>
          <w:szCs w:val="28"/>
        </w:rPr>
        <w:t>i</w:t>
      </w:r>
      <w:r>
        <w:rPr>
          <w:szCs w:val="28"/>
        </w:rPr>
        <w:t>类型电动汽车保有量；</w:t>
      </w:r>
    </w:p>
    <w:p>
      <w:pPr>
        <w:ind w:firstLine="560"/>
        <w:rPr>
          <w:rFonts w:hint="eastAsia"/>
          <w:szCs w:val="28"/>
        </w:rPr>
      </w:pPr>
      <m:oMath>
        <m:sSub>
          <m:sSubPr>
            <m:ctrlPr>
              <w:rPr>
                <w:rFonts w:ascii="Cambria Math" w:hAnsi="Cambria Math"/>
                <w:i/>
                <w:szCs w:val="28"/>
              </w:rPr>
            </m:ctrlPr>
          </m:sSubPr>
          <m:e>
            <m:r>
              <m:rPr/>
              <w:rPr>
                <w:rFonts w:ascii="Cambria Math" w:hAnsi="Cambria Math"/>
                <w:szCs w:val="28"/>
              </w:rPr>
              <m:t>τ</m:t>
            </m:r>
            <m:ctrlPr>
              <w:rPr>
                <w:rFonts w:ascii="Cambria Math" w:hAnsi="Cambria Math"/>
                <w:i/>
                <w:szCs w:val="28"/>
              </w:rPr>
            </m:ctrlPr>
          </m:e>
          <m:sub>
            <m:r>
              <m:rPr/>
              <w:rPr>
                <w:rFonts w:ascii="Cambria Math" w:hAnsi="Cambria Math"/>
                <w:szCs w:val="28"/>
              </w:rPr>
              <m:t>i</m:t>
            </m:r>
            <m:ctrlPr>
              <w:rPr>
                <w:rFonts w:ascii="Cambria Math" w:hAnsi="Cambria Math"/>
                <w:i/>
                <w:szCs w:val="28"/>
              </w:rPr>
            </m:ctrlPr>
          </m:sub>
        </m:sSub>
      </m:oMath>
      <w:r>
        <w:rPr>
          <w:iCs/>
          <w:szCs w:val="28"/>
        </w:rPr>
        <w:t>—</w:t>
      </w:r>
      <w:r>
        <w:rPr>
          <w:szCs w:val="28"/>
        </w:rPr>
        <w:t>第</w:t>
      </w:r>
      <w:r>
        <w:rPr>
          <w:i/>
          <w:iCs/>
          <w:szCs w:val="28"/>
        </w:rPr>
        <w:t>i</w:t>
      </w:r>
      <w:r>
        <w:rPr>
          <w:szCs w:val="28"/>
        </w:rPr>
        <w:t>类型电动汽车在公共充电设施充电的同时率系数；</w:t>
      </w:r>
    </w:p>
    <w:p>
      <w:pPr>
        <w:ind w:firstLine="560"/>
        <w:rPr>
          <w:rFonts w:hint="eastAsia"/>
          <w:szCs w:val="28"/>
        </w:rPr>
      </w:pPr>
      <m:oMath>
        <m:sSub>
          <m:sSubPr>
            <m:ctrlPr>
              <w:rPr>
                <w:rFonts w:ascii="Cambria Math" w:hAnsi="Cambria Math"/>
                <w:i/>
                <w:szCs w:val="28"/>
              </w:rPr>
            </m:ctrlPr>
          </m:sSubPr>
          <m:e>
            <m:r>
              <m:rPr/>
              <w:rPr>
                <w:rFonts w:ascii="Cambria Math" w:hAnsi="Cambria Math"/>
                <w:szCs w:val="28"/>
              </w:rPr>
              <m:t>τ</m:t>
            </m:r>
            <m:ctrlPr>
              <w:rPr>
                <w:rFonts w:ascii="Cambria Math" w:hAnsi="Cambria Math"/>
                <w:i/>
                <w:szCs w:val="28"/>
              </w:rPr>
            </m:ctrlPr>
          </m:e>
          <m:sub>
            <m:r>
              <m:rPr>
                <m:sty m:val="p"/>
              </m:rPr>
              <w:rPr>
                <w:rFonts w:ascii="Cambria Math" w:hAnsi="Cambria Math"/>
                <w:szCs w:val="28"/>
              </w:rPr>
              <m:t>公共</m:t>
            </m:r>
            <m:ctrlPr>
              <w:rPr>
                <w:rFonts w:ascii="Cambria Math" w:hAnsi="Cambria Math"/>
                <w:i/>
                <w:szCs w:val="28"/>
              </w:rPr>
            </m:ctrlPr>
          </m:sub>
        </m:sSub>
      </m:oMath>
      <w:r>
        <w:rPr>
          <w:iCs/>
          <w:szCs w:val="28"/>
        </w:rPr>
        <w:t>—</w:t>
      </w:r>
      <w:r>
        <w:rPr>
          <w:szCs w:val="28"/>
        </w:rPr>
        <w:t>各类型电动汽车在公共领域充电的同时率系数；</w:t>
      </w:r>
    </w:p>
    <w:p>
      <w:pPr>
        <w:ind w:firstLine="560"/>
        <w:rPr>
          <w:rFonts w:hint="eastAsia"/>
        </w:rPr>
      </w:pPr>
      <m:oMath>
        <m:sSub>
          <m:sSubPr>
            <m:ctrlPr>
              <w:rPr>
                <w:rFonts w:ascii="Cambria Math" w:hAnsi="Cambria Math"/>
                <w:i/>
                <w:szCs w:val="28"/>
              </w:rPr>
            </m:ctrlPr>
          </m:sSubPr>
          <m:e>
            <m:r>
              <m:rPr/>
              <w:rPr>
                <w:rFonts w:ascii="Cambria Math" w:hAnsi="Cambria Math"/>
                <w:szCs w:val="28"/>
              </w:rPr>
              <m:t>P</m:t>
            </m:r>
            <m:ctrlPr>
              <w:rPr>
                <w:rFonts w:ascii="Cambria Math" w:hAnsi="Cambria Math"/>
                <w:i/>
                <w:szCs w:val="28"/>
              </w:rPr>
            </m:ctrlPr>
          </m:e>
          <m:sub>
            <m:r>
              <m:rPr/>
              <w:rPr>
                <w:rFonts w:ascii="Cambria Math" w:hAnsi="Cambria Math"/>
                <w:szCs w:val="28"/>
              </w:rPr>
              <m:t>标准桩</m:t>
            </m:r>
            <m:ctrlPr>
              <w:rPr>
                <w:rFonts w:ascii="Cambria Math" w:hAnsi="Cambria Math"/>
                <w:i/>
                <w:szCs w:val="28"/>
              </w:rPr>
            </m:ctrlPr>
          </m:sub>
        </m:sSub>
      </m:oMath>
      <w:r>
        <w:rPr>
          <w:iCs/>
          <w:szCs w:val="28"/>
        </w:rPr>
        <w:t>—</w:t>
      </w:r>
      <w:r>
        <w:rPr>
          <w:szCs w:val="28"/>
        </w:rPr>
        <w:t>标准桩的充电功率，可参考实际情况确定，如选取60kW作为标准桩。</w:t>
      </w:r>
    </w:p>
    <w:p>
      <w:pPr>
        <w:ind w:firstLine="560"/>
        <w:rPr>
          <w:rFonts w:hAnsi="Cambria Math"/>
          <w:szCs w:val="28"/>
        </w:rPr>
      </w:pPr>
      <w:r>
        <w:rPr>
          <w:rFonts w:hint="eastAsia" w:ascii="仿宋" w:hAnsi="仿宋"/>
          <w:szCs w:val="28"/>
        </w:rPr>
        <w:t>该方法按车辆类型分别计</w:t>
      </w:r>
      <w:r>
        <w:rPr>
          <w:rFonts w:hint="eastAsia" w:hAnsi="Cambria Math"/>
          <w:szCs w:val="28"/>
        </w:rPr>
        <w:t>算电动汽车在公共领域的充电需求。考虑电动汽车的充电同时率，首先在计算某一类型电动汽车的充电需求时，引入同时率系数</w:t>
      </w:r>
      <m:oMath>
        <m:sSub>
          <m:sSubPr>
            <m:ctrlPr>
              <w:rPr>
                <w:rFonts w:ascii="Cambria Math" w:hAnsi="Cambria Math"/>
                <w:i/>
                <w:szCs w:val="28"/>
              </w:rPr>
            </m:ctrlPr>
          </m:sSubPr>
          <m:e>
            <m:r>
              <m:rPr/>
              <w:rPr>
                <w:rFonts w:ascii="Cambria Math" w:hAnsi="Cambria Math"/>
                <w:szCs w:val="28"/>
              </w:rPr>
              <m:t>τ</m:t>
            </m:r>
            <m:ctrlPr>
              <w:rPr>
                <w:rFonts w:ascii="Cambria Math" w:hAnsi="Cambria Math"/>
                <w:i/>
                <w:szCs w:val="28"/>
              </w:rPr>
            </m:ctrlPr>
          </m:e>
          <m:sub>
            <m:r>
              <m:rPr/>
              <w:rPr>
                <w:rFonts w:ascii="Cambria Math" w:hAnsi="Cambria Math"/>
                <w:szCs w:val="28"/>
              </w:rPr>
              <m:t>i</m:t>
            </m:r>
            <m:ctrlPr>
              <w:rPr>
                <w:rFonts w:ascii="Cambria Math" w:hAnsi="Cambria Math"/>
                <w:i/>
                <w:szCs w:val="28"/>
              </w:rPr>
            </m:ctrlPr>
          </m:sub>
        </m:sSub>
      </m:oMath>
      <w:r>
        <w:rPr>
          <w:rFonts w:hint="eastAsia" w:hAnsi="Cambria Math"/>
          <w:szCs w:val="28"/>
        </w:rPr>
        <w:t>。</w:t>
      </w:r>
    </w:p>
    <w:p>
      <w:pPr>
        <w:ind w:firstLine="560"/>
        <w:rPr>
          <w:rFonts w:hint="eastAsia"/>
        </w:rPr>
      </w:pPr>
      <w:r>
        <w:rPr>
          <w:rFonts w:hint="eastAsia" w:hAnsi="Cambria Math"/>
        </w:rPr>
        <w:t>《中国主要城市充电设施检测报告》显示，四类乘用车全日直流充电小时系数均不超过0</w:t>
      </w:r>
      <w:r>
        <w:rPr>
          <w:rFonts w:hAnsi="Cambria Math"/>
        </w:rPr>
        <w:t>.21</w:t>
      </w:r>
      <w:r>
        <w:rPr>
          <w:rFonts w:hint="eastAsia" w:hAnsi="Cambria Math"/>
        </w:rPr>
        <w:t>。充电小时系数与</w:t>
      </w:r>
      <m:oMath>
        <m:sSub>
          <m:sSubPr>
            <m:ctrlPr>
              <w:rPr>
                <w:rFonts w:ascii="Cambria Math" w:hAnsi="Cambria Math"/>
              </w:rPr>
            </m:ctrlPr>
          </m:sSubPr>
          <m:e>
            <m:r>
              <m:rPr/>
              <w:rPr>
                <w:rFonts w:ascii="Cambria Math" w:hAnsi="Cambria Math"/>
              </w:rPr>
              <m:t>τ</m:t>
            </m:r>
            <m:ctrlPr>
              <w:rPr>
                <w:rFonts w:ascii="Cambria Math" w:hAnsi="Cambria Math"/>
              </w:rPr>
            </m:ctrlPr>
          </m:e>
          <m:sub>
            <m:r>
              <m:rPr/>
              <w:rPr>
                <w:rFonts w:ascii="Cambria Math" w:hAnsi="Cambria Math"/>
              </w:rPr>
              <m:t>i</m:t>
            </m:r>
            <m:ctrlPr>
              <w:rPr>
                <w:rFonts w:ascii="Cambria Math" w:hAnsi="Cambria Math"/>
              </w:rPr>
            </m:ctrlPr>
          </m:sub>
        </m:sSub>
      </m:oMath>
      <w:r>
        <w:rPr>
          <w:rFonts w:hint="eastAsia"/>
        </w:rPr>
        <w:t>近似，</w:t>
      </w:r>
      <m:oMath>
        <m:sSub>
          <m:sSubPr>
            <m:ctrlPr>
              <w:rPr>
                <w:rFonts w:ascii="Cambria Math" w:hAnsi="Cambria Math"/>
              </w:rPr>
            </m:ctrlPr>
          </m:sSubPr>
          <m:e>
            <m:r>
              <m:rPr/>
              <w:rPr>
                <w:rFonts w:ascii="Cambria Math" w:hAnsi="Cambria Math"/>
              </w:rPr>
              <m:t>τ</m:t>
            </m:r>
            <m:ctrlPr>
              <w:rPr>
                <w:rFonts w:ascii="Cambria Math" w:hAnsi="Cambria Math"/>
              </w:rPr>
            </m:ctrlPr>
          </m:e>
          <m:sub>
            <m:r>
              <m:rPr/>
              <w:rPr>
                <w:rFonts w:ascii="Cambria Math" w:hAnsi="Cambria Math"/>
              </w:rPr>
              <m:t>i</m:t>
            </m:r>
            <m:ctrlPr>
              <w:rPr>
                <w:rFonts w:ascii="Cambria Math" w:hAnsi="Cambria Math"/>
              </w:rPr>
            </m:ctrlPr>
          </m:sub>
        </m:sSub>
      </m:oMath>
      <w:r>
        <w:rPr>
          <w:rFonts w:hint="eastAsia"/>
        </w:rPr>
        <w:t>参考日充电小时系数分布取值。</w:t>
      </w:r>
    </w:p>
    <w:p>
      <w:pPr>
        <w:keepNext/>
        <w:spacing w:line="240" w:lineRule="auto"/>
        <w:jc w:val="center"/>
        <w:rPr>
          <w:rFonts w:hint="eastAsia"/>
        </w:rPr>
      </w:pPr>
      <w:r>
        <w:drawing>
          <wp:inline distT="0" distB="0" distL="0" distR="0">
            <wp:extent cx="3914775" cy="2057400"/>
            <wp:effectExtent l="0" t="0" r="952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8"/>
                    <a:stretch>
                      <a:fillRect/>
                    </a:stretch>
                  </pic:blipFill>
                  <pic:spPr>
                    <a:xfrm>
                      <a:off x="0" y="0"/>
                      <a:ext cx="3914775" cy="2057400"/>
                    </a:xfrm>
                    <a:prstGeom prst="rect">
                      <a:avLst/>
                    </a:prstGeom>
                  </pic:spPr>
                </pic:pic>
              </a:graphicData>
            </a:graphic>
          </wp:inline>
        </w:drawing>
      </w:r>
    </w:p>
    <w:p>
      <w:pPr>
        <w:pStyle w:val="8"/>
      </w:pPr>
      <w:r>
        <w:rPr>
          <w:rFonts w:hint="eastAsia"/>
        </w:rPr>
        <w:t>不同车型日充电小时系数分布图</w:t>
      </w:r>
    </w:p>
    <w:p>
      <w:pPr>
        <w:ind w:firstLine="560"/>
        <w:rPr>
          <w:rFonts w:hAnsi="Cambria Math"/>
          <w:szCs w:val="28"/>
        </w:rPr>
      </w:pPr>
      <w:r>
        <w:rPr>
          <w:rFonts w:hint="eastAsia" w:hAnsi="Cambria Math"/>
          <w:szCs w:val="28"/>
        </w:rPr>
        <w:t>其次，考虑公共充电设施可为各类型电动汽车提供充电服务，并非按车辆类型分开建设运营，因此引入各类型电动汽车间的同时率系数</w:t>
      </w:r>
      <m:oMath>
        <m:sSub>
          <m:sSubPr>
            <m:ctrlPr>
              <w:rPr>
                <w:rFonts w:ascii="Cambria Math" w:hAnsi="Cambria Math"/>
                <w:i/>
                <w:szCs w:val="28"/>
              </w:rPr>
            </m:ctrlPr>
          </m:sSubPr>
          <m:e>
            <m:r>
              <m:rPr/>
              <w:rPr>
                <w:rFonts w:ascii="Cambria Math" w:hAnsi="Cambria Math"/>
                <w:szCs w:val="28"/>
              </w:rPr>
              <m:t>τ</m:t>
            </m:r>
            <m:ctrlPr>
              <w:rPr>
                <w:rFonts w:ascii="Cambria Math" w:hAnsi="Cambria Math"/>
                <w:i/>
                <w:szCs w:val="28"/>
              </w:rPr>
            </m:ctrlPr>
          </m:e>
          <m:sub>
            <m:r>
              <m:rPr>
                <m:sty m:val="p"/>
              </m:rPr>
              <w:rPr>
                <w:rFonts w:ascii="Cambria Math" w:hAnsi="Cambria Math"/>
                <w:szCs w:val="28"/>
              </w:rPr>
              <m:t>公共</m:t>
            </m:r>
            <m:ctrlPr>
              <w:rPr>
                <w:rFonts w:ascii="Cambria Math" w:hAnsi="Cambria Math"/>
                <w:i/>
                <w:szCs w:val="28"/>
              </w:rPr>
            </m:ctrlPr>
          </m:sub>
        </m:sSub>
      </m:oMath>
      <w:r>
        <w:rPr>
          <w:rFonts w:hint="eastAsia" w:hAnsi="Cambria Math"/>
          <w:szCs w:val="28"/>
        </w:rPr>
        <w:t>（参考取值为0.8~0.9）做进一步修正。</w:t>
      </w:r>
    </w:p>
    <w:p>
      <w:pPr>
        <w:ind w:firstLine="560"/>
        <w:rPr>
          <w:rFonts w:hAnsi="Cambria Math"/>
          <w:szCs w:val="28"/>
        </w:rPr>
      </w:pPr>
      <w:r>
        <w:rPr>
          <w:rFonts w:hint="eastAsia" w:hAnsi="Cambria Math"/>
          <w:szCs w:val="28"/>
        </w:rPr>
        <w:t>目前，公共充电设施以直流充电桩为主，因此标准桩充电功率一般为直流桩充电功率。对于需配置小比例交流充电桩的场景，如在居民小区周边、工作单位周边、大型停车场等场所，实际工作中分场景具体分析。</w:t>
      </w:r>
    </w:p>
    <w:p>
      <w:pPr>
        <w:ind w:firstLine="560"/>
        <w:rPr>
          <w:rFonts w:hint="eastAsia"/>
          <w:szCs w:val="28"/>
        </w:rPr>
      </w:pPr>
      <w:r>
        <w:rPr>
          <w:rFonts w:hint="eastAsia"/>
        </w:rPr>
        <w:t>桓仁满族自治县各类型</w:t>
      </w:r>
      <w:r>
        <w:t>电动</w:t>
      </w:r>
      <w:r>
        <w:rPr>
          <w:rFonts w:hint="eastAsia"/>
        </w:rPr>
        <w:t>汽车</w:t>
      </w:r>
      <w:r>
        <w:t>保有量</w:t>
      </w:r>
      <w:r>
        <w:rPr>
          <w:rFonts w:hint="eastAsia"/>
        </w:rPr>
        <w:t>、同时率系数见下表。</w:t>
      </w:r>
      <w:r>
        <w:rPr>
          <w:iCs/>
          <w:szCs w:val="28"/>
        </w:rPr>
        <w:t>各</w:t>
      </w:r>
      <w:r>
        <w:rPr>
          <w:szCs w:val="28"/>
        </w:rPr>
        <w:t>类型电动汽车</w:t>
      </w:r>
      <w:r>
        <w:rPr>
          <w:rFonts w:hint="eastAsia"/>
          <w:szCs w:val="28"/>
        </w:rPr>
        <w:t>在公共领域</w:t>
      </w:r>
      <w:r>
        <w:rPr>
          <w:szCs w:val="28"/>
        </w:rPr>
        <w:t>的充电同时率系数</w:t>
      </w:r>
      <m:oMath>
        <m:sSub>
          <m:sSubPr>
            <m:ctrlPr>
              <w:rPr>
                <w:rFonts w:ascii="Cambria Math" w:hAnsi="Cambria Math"/>
                <w:i/>
                <w:szCs w:val="28"/>
              </w:rPr>
            </m:ctrlPr>
          </m:sSubPr>
          <m:e>
            <m:r>
              <m:rPr/>
              <w:rPr>
                <w:rFonts w:ascii="Cambria Math" w:hAnsi="Cambria Math"/>
                <w:szCs w:val="28"/>
              </w:rPr>
              <m:t>τ</m:t>
            </m:r>
            <m:ctrlPr>
              <w:rPr>
                <w:rFonts w:ascii="Cambria Math" w:hAnsi="Cambria Math"/>
                <w:i/>
                <w:szCs w:val="28"/>
              </w:rPr>
            </m:ctrlPr>
          </m:e>
          <m:sub>
            <m:r>
              <m:rPr>
                <m:sty m:val="p"/>
              </m:rPr>
              <w:rPr>
                <w:rFonts w:ascii="Cambria Math" w:hAnsi="Cambria Math"/>
                <w:szCs w:val="28"/>
              </w:rPr>
              <m:t>公共</m:t>
            </m:r>
            <m:ctrlPr>
              <w:rPr>
                <w:rFonts w:ascii="Cambria Math" w:hAnsi="Cambria Math"/>
                <w:i/>
                <w:szCs w:val="28"/>
              </w:rPr>
            </m:ctrlPr>
          </m:sub>
        </m:sSub>
      </m:oMath>
      <w:r>
        <w:rPr>
          <w:rFonts w:hint="eastAsia"/>
          <w:szCs w:val="28"/>
        </w:rPr>
        <w:t>取</w:t>
      </w:r>
      <w:r>
        <w:rPr>
          <w:szCs w:val="28"/>
        </w:rPr>
        <w:t>0.9</w:t>
      </w:r>
      <w:r>
        <w:rPr>
          <w:rFonts w:hint="eastAsia"/>
          <w:szCs w:val="28"/>
        </w:rPr>
        <w:t>。</w:t>
      </w:r>
    </w:p>
    <w:p>
      <w:pPr>
        <w:pStyle w:val="7"/>
      </w:pPr>
      <w:r>
        <w:t>同时率系数法预测结果</w:t>
      </w:r>
    </w:p>
    <w:tbl>
      <w:tblPr>
        <w:tblStyle w:val="30"/>
        <w:tblW w:w="8500" w:type="dxa"/>
        <w:tblInd w:w="0" w:type="dxa"/>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0" w:type="dxa"/>
          <w:bottom w:w="0" w:type="dxa"/>
          <w:right w:w="0" w:type="dxa"/>
        </w:tblCellMar>
      </w:tblPr>
      <w:tblGrid>
        <w:gridCol w:w="1701"/>
        <w:gridCol w:w="849"/>
        <w:gridCol w:w="850"/>
        <w:gridCol w:w="850"/>
        <w:gridCol w:w="850"/>
        <w:gridCol w:w="850"/>
        <w:gridCol w:w="850"/>
        <w:gridCol w:w="850"/>
        <w:gridCol w:w="850"/>
      </w:tblGrid>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701" w:type="dxa"/>
            <w:shd w:val="clear" w:color="auto" w:fill="D8D8D8" w:themeFill="background1" w:themeFillShade="D9"/>
            <w:noWrap/>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ascii="Times New Roman" w:hAnsi="Times New Roman"/>
                <w:sz w:val="19"/>
                <w:szCs w:val="19"/>
              </w:rPr>
              <w:t>电动汽车类型</w:t>
            </w:r>
          </w:p>
        </w:tc>
        <w:tc>
          <w:tcPr>
            <w:tcW w:w="849" w:type="dxa"/>
            <w:shd w:val="clear" w:color="auto" w:fill="D8D8D8" w:themeFill="background1" w:themeFillShade="D9"/>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ascii="Times New Roman" w:hAnsi="Times New Roman"/>
                <w:sz w:val="19"/>
                <w:szCs w:val="19"/>
              </w:rPr>
              <w:t>私家车</w:t>
            </w:r>
          </w:p>
        </w:tc>
        <w:tc>
          <w:tcPr>
            <w:tcW w:w="850" w:type="dxa"/>
            <w:shd w:val="clear" w:color="auto" w:fill="D8D8D8" w:themeFill="background1" w:themeFillShade="D9"/>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ascii="Times New Roman" w:hAnsi="Times New Roman"/>
                <w:sz w:val="19"/>
                <w:szCs w:val="19"/>
              </w:rPr>
              <w:t>租赁车</w:t>
            </w:r>
          </w:p>
        </w:tc>
        <w:tc>
          <w:tcPr>
            <w:tcW w:w="850" w:type="dxa"/>
            <w:shd w:val="clear" w:color="auto" w:fill="D8D8D8" w:themeFill="background1" w:themeFillShade="D9"/>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ascii="Times New Roman" w:hAnsi="Times New Roman"/>
                <w:sz w:val="19"/>
                <w:szCs w:val="19"/>
              </w:rPr>
              <w:t>公交车</w:t>
            </w:r>
          </w:p>
        </w:tc>
        <w:tc>
          <w:tcPr>
            <w:tcW w:w="850" w:type="dxa"/>
            <w:shd w:val="clear" w:color="auto" w:fill="D8D8D8" w:themeFill="background1" w:themeFillShade="D9"/>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ascii="Times New Roman" w:hAnsi="Times New Roman"/>
                <w:sz w:val="19"/>
                <w:szCs w:val="19"/>
              </w:rPr>
              <w:t>环卫车</w:t>
            </w:r>
          </w:p>
        </w:tc>
        <w:tc>
          <w:tcPr>
            <w:tcW w:w="850" w:type="dxa"/>
            <w:shd w:val="clear" w:color="auto" w:fill="D8D8D8" w:themeFill="background1" w:themeFillShade="D9"/>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ascii="Times New Roman" w:hAnsi="Times New Roman"/>
                <w:sz w:val="19"/>
                <w:szCs w:val="19"/>
              </w:rPr>
              <w:t>出租车</w:t>
            </w:r>
          </w:p>
        </w:tc>
        <w:tc>
          <w:tcPr>
            <w:tcW w:w="850" w:type="dxa"/>
            <w:shd w:val="clear" w:color="auto" w:fill="D8D8D8" w:themeFill="background1" w:themeFillShade="D9"/>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ascii="Times New Roman" w:hAnsi="Times New Roman"/>
                <w:sz w:val="19"/>
                <w:szCs w:val="19"/>
              </w:rPr>
              <w:t>物流车</w:t>
            </w:r>
          </w:p>
        </w:tc>
        <w:tc>
          <w:tcPr>
            <w:tcW w:w="850" w:type="dxa"/>
            <w:shd w:val="clear" w:color="auto" w:fill="D8D8D8" w:themeFill="background1" w:themeFillShade="D9"/>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ascii="Times New Roman" w:hAnsi="Times New Roman"/>
                <w:sz w:val="19"/>
                <w:szCs w:val="19"/>
              </w:rPr>
              <w:t>公务车</w:t>
            </w:r>
          </w:p>
        </w:tc>
        <w:tc>
          <w:tcPr>
            <w:tcW w:w="850" w:type="dxa"/>
            <w:shd w:val="clear" w:color="auto" w:fill="D8D8D8" w:themeFill="background1" w:themeFillShade="D9"/>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ascii="Times New Roman" w:hAnsi="Times New Roman"/>
                <w:sz w:val="19"/>
                <w:szCs w:val="19"/>
              </w:rPr>
              <w:t>客运</w:t>
            </w:r>
          </w:p>
          <w:p>
            <w:pPr>
              <w:spacing w:line="240" w:lineRule="auto"/>
              <w:jc w:val="center"/>
              <w:rPr>
                <w:rFonts w:ascii="Times New Roman" w:hAnsi="Times New Roman"/>
                <w:sz w:val="19"/>
                <w:szCs w:val="19"/>
              </w:rPr>
            </w:pPr>
            <w:r>
              <w:rPr>
                <w:rFonts w:ascii="Times New Roman" w:hAnsi="Times New Roman"/>
                <w:sz w:val="19"/>
                <w:szCs w:val="19"/>
              </w:rPr>
              <w:t>班车</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701" w:type="dxa"/>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m:oMathPara>
              <m:oMath>
                <m:sSub>
                  <m:sSubPr>
                    <m:ctrlPr>
                      <w:rPr>
                        <w:rFonts w:ascii="Cambria Math" w:hAnsi="Cambria Math"/>
                        <w:sz w:val="19"/>
                        <w:szCs w:val="19"/>
                      </w:rPr>
                    </m:ctrlPr>
                  </m:sSubPr>
                  <m:e>
                    <m:r>
                      <m:rPr>
                        <m:sty m:val="b"/>
                      </m:rPr>
                      <w:rPr>
                        <w:rFonts w:ascii="Cambria Math" w:hAnsi="Cambria Math"/>
                        <w:sz w:val="19"/>
                        <w:szCs w:val="19"/>
                      </w:rPr>
                      <m:t>N</m:t>
                    </m:r>
                    <m:ctrlPr>
                      <w:rPr>
                        <w:rFonts w:ascii="Cambria Math" w:hAnsi="Cambria Math"/>
                        <w:sz w:val="19"/>
                        <w:szCs w:val="19"/>
                      </w:rPr>
                    </m:ctrlPr>
                  </m:e>
                  <m:sub>
                    <m:r>
                      <m:rPr>
                        <m:sty m:val="b"/>
                      </m:rPr>
                      <w:rPr>
                        <w:rFonts w:ascii="Cambria Math" w:hAnsi="Cambria Math"/>
                        <w:sz w:val="19"/>
                        <w:szCs w:val="19"/>
                      </w:rPr>
                      <m:t>i</m:t>
                    </m:r>
                    <m:ctrlPr>
                      <w:rPr>
                        <w:rFonts w:ascii="Cambria Math" w:hAnsi="Cambria Math"/>
                        <w:sz w:val="19"/>
                        <w:szCs w:val="19"/>
                      </w:rPr>
                    </m:ctrlPr>
                  </m:sub>
                </m:sSub>
              </m:oMath>
            </m:oMathPara>
          </w:p>
        </w:tc>
        <w:tc>
          <w:tcPr>
            <w:tcW w:w="849" w:type="dxa"/>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hint="eastAsia" w:ascii="Times New Roman" w:hAnsi="Times New Roman"/>
                <w:sz w:val="19"/>
                <w:szCs w:val="19"/>
              </w:rPr>
              <w:t>1034</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hint="eastAsia" w:ascii="Times New Roman" w:hAnsi="Times New Roman"/>
                <w:sz w:val="19"/>
                <w:szCs w:val="19"/>
              </w:rPr>
              <w:t>7</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hint="eastAsia" w:ascii="Times New Roman" w:hAnsi="Times New Roman"/>
                <w:sz w:val="19"/>
                <w:szCs w:val="19"/>
              </w:rPr>
              <w:t>53</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hint="eastAsia" w:ascii="Times New Roman" w:hAnsi="Times New Roman"/>
                <w:sz w:val="19"/>
                <w:szCs w:val="19"/>
              </w:rPr>
              <w:t>0</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hint="eastAsia" w:ascii="Times New Roman" w:hAnsi="Times New Roman"/>
                <w:sz w:val="19"/>
                <w:szCs w:val="19"/>
              </w:rPr>
              <w:t>83</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hint="eastAsia" w:ascii="Times New Roman" w:hAnsi="Times New Roman"/>
                <w:sz w:val="19"/>
                <w:szCs w:val="19"/>
              </w:rPr>
              <w:t>0</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hint="eastAsia" w:ascii="Times New Roman" w:hAnsi="Times New Roman"/>
                <w:sz w:val="19"/>
                <w:szCs w:val="19"/>
              </w:rPr>
              <w:t>209</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hint="eastAsia" w:ascii="Times New Roman" w:hAnsi="Times New Roman"/>
                <w:sz w:val="19"/>
                <w:szCs w:val="19"/>
              </w:rPr>
              <w:t>7</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701" w:type="dxa"/>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m:oMathPara>
              <m:oMath>
                <m:sSub>
                  <m:sSubPr>
                    <m:ctrlPr>
                      <w:rPr>
                        <w:rFonts w:ascii="Cambria Math" w:hAnsi="Cambria Math"/>
                        <w:sz w:val="19"/>
                        <w:szCs w:val="19"/>
                      </w:rPr>
                    </m:ctrlPr>
                  </m:sSubPr>
                  <m:e>
                    <m:r>
                      <m:rPr>
                        <m:sty m:val="b"/>
                      </m:rPr>
                      <w:rPr>
                        <w:rFonts w:ascii="Cambria Math" w:hAnsi="Cambria Math"/>
                        <w:sz w:val="19"/>
                        <w:szCs w:val="19"/>
                      </w:rPr>
                      <m:t>τ</m:t>
                    </m:r>
                    <m:ctrlPr>
                      <w:rPr>
                        <w:rFonts w:ascii="Cambria Math" w:hAnsi="Cambria Math"/>
                        <w:sz w:val="19"/>
                        <w:szCs w:val="19"/>
                      </w:rPr>
                    </m:ctrlPr>
                  </m:e>
                  <m:sub>
                    <m:r>
                      <m:rPr>
                        <m:sty m:val="b"/>
                      </m:rPr>
                      <w:rPr>
                        <w:rFonts w:ascii="Cambria Math" w:hAnsi="Cambria Math"/>
                        <w:sz w:val="19"/>
                        <w:szCs w:val="19"/>
                      </w:rPr>
                      <m:t>i</m:t>
                    </m:r>
                    <m:ctrlPr>
                      <w:rPr>
                        <w:rFonts w:ascii="Cambria Math" w:hAnsi="Cambria Math"/>
                        <w:sz w:val="19"/>
                        <w:szCs w:val="19"/>
                      </w:rPr>
                    </m:ctrlPr>
                  </m:sub>
                </m:sSub>
              </m:oMath>
            </m:oMathPara>
          </w:p>
        </w:tc>
        <w:tc>
          <w:tcPr>
            <w:tcW w:w="849" w:type="dxa"/>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hint="eastAsia" w:ascii="Times New Roman" w:hAnsi="Times New Roman"/>
                <w:sz w:val="19"/>
                <w:szCs w:val="19"/>
              </w:rPr>
              <w:t>0.17</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hint="eastAsia" w:ascii="Times New Roman" w:hAnsi="Times New Roman"/>
                <w:sz w:val="19"/>
                <w:szCs w:val="19"/>
              </w:rPr>
              <w:t>0.17</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hint="eastAsia" w:ascii="Times New Roman" w:hAnsi="Times New Roman"/>
                <w:sz w:val="19"/>
                <w:szCs w:val="19"/>
              </w:rPr>
              <w:t>0.05</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hint="eastAsia" w:ascii="Times New Roman" w:hAnsi="Times New Roman"/>
                <w:sz w:val="19"/>
                <w:szCs w:val="19"/>
              </w:rPr>
              <w:t>0.05</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hint="eastAsia" w:ascii="Times New Roman" w:hAnsi="Times New Roman"/>
                <w:sz w:val="19"/>
                <w:szCs w:val="19"/>
              </w:rPr>
              <w:t>0.12</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hint="eastAsia" w:ascii="Times New Roman" w:hAnsi="Times New Roman"/>
                <w:sz w:val="19"/>
                <w:szCs w:val="19"/>
              </w:rPr>
              <w:t>0.05</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hint="eastAsia" w:ascii="Times New Roman" w:hAnsi="Times New Roman"/>
                <w:sz w:val="19"/>
                <w:szCs w:val="19"/>
              </w:rPr>
              <w:t>0.12</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hint="eastAsia" w:ascii="Times New Roman" w:hAnsi="Times New Roman"/>
                <w:sz w:val="19"/>
                <w:szCs w:val="19"/>
              </w:rPr>
              <w:t>0.05</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701" w:type="dxa"/>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m:oMathPara>
              <m:oMath>
                <m:sSub>
                  <m:sSubPr>
                    <m:ctrlPr>
                      <w:rPr>
                        <w:rFonts w:ascii="Cambria Math" w:hAnsi="Cambria Math"/>
                        <w:sz w:val="19"/>
                        <w:szCs w:val="19"/>
                      </w:rPr>
                    </m:ctrlPr>
                  </m:sSubPr>
                  <m:e>
                    <m:r>
                      <m:rPr>
                        <m:sty m:val="b"/>
                      </m:rPr>
                      <w:rPr>
                        <w:rFonts w:ascii="Cambria Math" w:hAnsi="Cambria Math"/>
                        <w:sz w:val="19"/>
                        <w:szCs w:val="19"/>
                      </w:rPr>
                      <m:t>τ</m:t>
                    </m:r>
                    <m:ctrlPr>
                      <w:rPr>
                        <w:rFonts w:ascii="Cambria Math" w:hAnsi="Cambria Math"/>
                        <w:sz w:val="19"/>
                        <w:szCs w:val="19"/>
                      </w:rPr>
                    </m:ctrlPr>
                  </m:e>
                  <m:sub>
                    <m:r>
                      <m:rPr>
                        <m:sty m:val="p"/>
                      </m:rPr>
                      <w:rPr>
                        <w:rFonts w:ascii="Cambria Math" w:hAnsi="Cambria Math"/>
                        <w:sz w:val="19"/>
                        <w:szCs w:val="19"/>
                      </w:rPr>
                      <m:t>公共</m:t>
                    </m:r>
                    <m:ctrlPr>
                      <w:rPr>
                        <w:rFonts w:ascii="Cambria Math" w:hAnsi="Cambria Math"/>
                        <w:sz w:val="19"/>
                        <w:szCs w:val="19"/>
                      </w:rPr>
                    </m:ctrlPr>
                  </m:sub>
                </m:sSub>
              </m:oMath>
            </m:oMathPara>
          </w:p>
        </w:tc>
        <w:tc>
          <w:tcPr>
            <w:tcW w:w="6799" w:type="dxa"/>
            <w:gridSpan w:val="8"/>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ascii="Times New Roman" w:hAnsi="Times New Roman"/>
                <w:sz w:val="19"/>
                <w:szCs w:val="19"/>
              </w:rPr>
              <w:t>0.9</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701" w:type="dxa"/>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ascii="Times New Roman" w:hAnsi="Times New Roman"/>
                <w:sz w:val="19"/>
                <w:szCs w:val="19"/>
              </w:rPr>
              <w:t>N公共</w:t>
            </w:r>
          </w:p>
        </w:tc>
        <w:tc>
          <w:tcPr>
            <w:tcW w:w="849" w:type="dxa"/>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hint="eastAsia" w:ascii="Times New Roman" w:hAnsi="Times New Roman"/>
                <w:sz w:val="19"/>
                <w:szCs w:val="19"/>
              </w:rPr>
              <w:t>141</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hint="eastAsia" w:ascii="Times New Roman" w:hAnsi="Times New Roman"/>
                <w:sz w:val="19"/>
                <w:szCs w:val="19"/>
              </w:rPr>
              <w:t>1</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hint="eastAsia" w:ascii="Times New Roman" w:hAnsi="Times New Roman"/>
                <w:sz w:val="19"/>
                <w:szCs w:val="19"/>
              </w:rPr>
              <w:t>2</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hint="eastAsia" w:ascii="Times New Roman" w:hAnsi="Times New Roman"/>
                <w:sz w:val="19"/>
                <w:szCs w:val="19"/>
              </w:rPr>
              <w:t>0</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hint="eastAsia" w:ascii="Times New Roman" w:hAnsi="Times New Roman"/>
                <w:sz w:val="19"/>
                <w:szCs w:val="19"/>
              </w:rPr>
              <w:t>8</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hint="eastAsia" w:ascii="Times New Roman" w:hAnsi="Times New Roman"/>
                <w:sz w:val="19"/>
                <w:szCs w:val="19"/>
              </w:rPr>
              <w:t>0</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hint="eastAsia" w:ascii="Times New Roman" w:hAnsi="Times New Roman"/>
                <w:sz w:val="19"/>
                <w:szCs w:val="19"/>
              </w:rPr>
              <w:t>20</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hint="eastAsia" w:ascii="Times New Roman" w:hAnsi="Times New Roman"/>
                <w:sz w:val="19"/>
                <w:szCs w:val="19"/>
              </w:rPr>
              <w:t>1</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701" w:type="dxa"/>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m:oMath>
              <m:sSub>
                <m:sSubPr>
                  <m:ctrlPr>
                    <w:rPr>
                      <w:rFonts w:ascii="Cambria Math" w:hAnsi="Cambria Math"/>
                      <w:sz w:val="19"/>
                      <w:szCs w:val="19"/>
                    </w:rPr>
                  </m:ctrlPr>
                </m:sSubPr>
                <m:e>
                  <m:r>
                    <m:rPr>
                      <m:sty m:val="b"/>
                    </m:rPr>
                    <w:rPr>
                      <w:rFonts w:ascii="Cambria Math" w:hAnsi="Cambria Math"/>
                      <w:sz w:val="19"/>
                      <w:szCs w:val="19"/>
                    </w:rPr>
                    <m:t>P</m:t>
                  </m:r>
                  <m:ctrlPr>
                    <w:rPr>
                      <w:rFonts w:ascii="Cambria Math" w:hAnsi="Cambria Math"/>
                      <w:sz w:val="19"/>
                      <w:szCs w:val="19"/>
                    </w:rPr>
                  </m:ctrlPr>
                </m:e>
                <m:sub>
                  <m:r>
                    <m:rPr>
                      <m:sty m:val="p"/>
                    </m:rPr>
                    <w:rPr>
                      <w:rFonts w:ascii="Cambria Math" w:hAnsi="Cambria Math"/>
                      <w:sz w:val="19"/>
                      <w:szCs w:val="19"/>
                    </w:rPr>
                    <m:t>标准桩</m:t>
                  </m:r>
                  <m:ctrlPr>
                    <w:rPr>
                      <w:rFonts w:ascii="Cambria Math" w:hAnsi="Cambria Math"/>
                      <w:sz w:val="19"/>
                      <w:szCs w:val="19"/>
                    </w:rPr>
                  </m:ctrlPr>
                </m:sub>
              </m:sSub>
            </m:oMath>
            <w:r>
              <w:rPr>
                <w:rFonts w:ascii="Times New Roman" w:hAnsi="Times New Roman"/>
                <w:sz w:val="19"/>
                <w:szCs w:val="19"/>
              </w:rPr>
              <w:t>（kW）</w:t>
            </w:r>
          </w:p>
        </w:tc>
        <w:tc>
          <w:tcPr>
            <w:tcW w:w="6799" w:type="dxa"/>
            <w:gridSpan w:val="8"/>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ascii="Times New Roman" w:hAnsi="Times New Roman"/>
                <w:sz w:val="19"/>
                <w:szCs w:val="19"/>
              </w:rPr>
              <w:t>60</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701" w:type="dxa"/>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m:oMath>
              <m:sSub>
                <m:sSubPr>
                  <m:ctrlPr>
                    <w:rPr>
                      <w:rFonts w:ascii="Cambria Math" w:hAnsi="Cambria Math"/>
                      <w:sz w:val="19"/>
                      <w:szCs w:val="19"/>
                    </w:rPr>
                  </m:ctrlPr>
                </m:sSubPr>
                <m:e>
                  <m:r>
                    <m:rPr>
                      <m:sty m:val="b"/>
                    </m:rPr>
                    <w:rPr>
                      <w:rFonts w:ascii="Cambria Math" w:hAnsi="Cambria Math"/>
                      <w:sz w:val="19"/>
                      <w:szCs w:val="19"/>
                    </w:rPr>
                    <m:t>P</m:t>
                  </m:r>
                  <m:ctrlPr>
                    <w:rPr>
                      <w:rFonts w:ascii="Cambria Math" w:hAnsi="Cambria Math"/>
                      <w:sz w:val="19"/>
                      <w:szCs w:val="19"/>
                    </w:rPr>
                  </m:ctrlPr>
                </m:e>
                <m:sub>
                  <m:r>
                    <m:rPr>
                      <m:sty m:val="p"/>
                    </m:rPr>
                    <w:rPr>
                      <w:rFonts w:ascii="Cambria Math" w:hAnsi="Cambria Math"/>
                      <w:sz w:val="19"/>
                      <w:szCs w:val="19"/>
                    </w:rPr>
                    <m:t>公共</m:t>
                  </m:r>
                  <m:ctrlPr>
                    <w:rPr>
                      <w:rFonts w:ascii="Cambria Math" w:hAnsi="Cambria Math"/>
                      <w:sz w:val="19"/>
                      <w:szCs w:val="19"/>
                    </w:rPr>
                  </m:ctrlPr>
                </m:sub>
              </m:sSub>
            </m:oMath>
            <w:r>
              <w:rPr>
                <w:rFonts w:ascii="Times New Roman" w:hAnsi="Times New Roman"/>
                <w:sz w:val="19"/>
                <w:szCs w:val="19"/>
              </w:rPr>
              <w:t>(kW)</w:t>
            </w:r>
          </w:p>
        </w:tc>
        <w:tc>
          <w:tcPr>
            <w:tcW w:w="6799" w:type="dxa"/>
            <w:gridSpan w:val="8"/>
            <w:shd w:val="clear" w:color="auto" w:fill="auto"/>
            <w:noWrap/>
            <w:tcMar>
              <w:top w:w="30" w:type="dxa"/>
              <w:left w:w="45" w:type="dxa"/>
              <w:bottom w:w="30" w:type="dxa"/>
              <w:right w:w="45" w:type="dxa"/>
            </w:tcMar>
            <w:vAlign w:val="center"/>
          </w:tcPr>
          <w:p>
            <w:pPr>
              <w:spacing w:line="240" w:lineRule="auto"/>
              <w:jc w:val="center"/>
              <w:rPr>
                <w:rFonts w:ascii="Times New Roman" w:hAnsi="Times New Roman"/>
                <w:sz w:val="19"/>
                <w:szCs w:val="19"/>
              </w:rPr>
            </w:pPr>
            <w:r>
              <w:rPr>
                <w:rFonts w:hint="eastAsia" w:ascii="Times New Roman" w:hAnsi="Times New Roman"/>
                <w:sz w:val="19"/>
                <w:szCs w:val="19"/>
              </w:rPr>
              <w:t>9342</w:t>
            </w:r>
          </w:p>
        </w:tc>
      </w:tr>
    </w:tbl>
    <w:p>
      <w:pPr>
        <w:spacing w:line="360" w:lineRule="auto"/>
        <w:ind w:firstLine="560" w:firstLineChars="200"/>
        <w:rPr>
          <w:rFonts w:hint="eastAsia"/>
          <w:szCs w:val="28"/>
        </w:rPr>
      </w:pPr>
      <w:r>
        <w:t>预计2028年，</w:t>
      </w:r>
      <w:r>
        <w:rPr>
          <w:rFonts w:hint="eastAsia"/>
        </w:rPr>
        <w:t>需充电桩</w:t>
      </w:r>
      <w:r>
        <w:t>173</w:t>
      </w:r>
      <w:r>
        <w:rPr>
          <w:rFonts w:hint="eastAsia"/>
        </w:rPr>
        <w:t>台，</w:t>
      </w:r>
      <w:r>
        <w:t>按照</w:t>
      </w:r>
      <w:r>
        <w:rPr>
          <w:rFonts w:hint="eastAsia"/>
        </w:rPr>
        <w:t>标准桩充电功率为6</w:t>
      </w:r>
      <w:r>
        <w:t>0</w:t>
      </w:r>
      <w:r>
        <w:rPr>
          <w:rFonts w:hint="eastAsia"/>
        </w:rPr>
        <w:t>kW计算，充电总功率达到</w:t>
      </w:r>
      <w:r>
        <w:t>9342k</w:t>
      </w:r>
      <w:r>
        <w:rPr>
          <w:rFonts w:hint="eastAsia"/>
        </w:rPr>
        <w:t>W</w:t>
      </w:r>
      <w:r>
        <w:t>。</w:t>
      </w:r>
    </w:p>
    <w:p>
      <w:pPr>
        <w:pStyle w:val="4"/>
      </w:pPr>
      <w:r>
        <w:t>充电量预测法</w:t>
      </w:r>
    </w:p>
    <w:p>
      <w:pPr>
        <w:ind w:firstLine="560"/>
        <w:rPr>
          <w:rFonts w:hint="eastAsia"/>
        </w:rPr>
      </w:pPr>
      <w:r>
        <w:t>公共充电设施的充电总功率分电动汽车类型，并按照充电量需求进行预测。具体如下：</w:t>
      </w:r>
    </w:p>
    <w:p>
      <w:pPr>
        <w:ind w:firstLine="560"/>
        <w:rPr>
          <w:rFonts w:hint="eastAsia"/>
          <w:szCs w:val="28"/>
        </w:rPr>
      </w:pPr>
      <w:r>
        <w:rPr>
          <w:szCs w:val="28"/>
        </w:rPr>
        <w:t>（1）某一类型电动汽车充电量需求计算方法如下：</w:t>
      </w:r>
    </w:p>
    <w:p>
      <w:pPr>
        <w:ind w:firstLine="560"/>
        <w:rPr>
          <w:rFonts w:hint="eastAsia"/>
          <w:szCs w:val="28"/>
        </w:rPr>
      </w:pPr>
      <m:oMathPara>
        <m:oMath>
          <m:r>
            <m:rPr/>
            <w:rPr>
              <w:rFonts w:ascii="Cambria Math" w:hAnsi="Cambria Math"/>
              <w:szCs w:val="28"/>
            </w:rPr>
            <m:t>E</m:t>
          </m:r>
          <m:r>
            <m:rPr>
              <m:sty m:val="p"/>
            </m:rPr>
            <w:rPr>
              <w:rFonts w:ascii="Cambria Math" w:hAnsi="Cambria Math"/>
              <w:szCs w:val="28"/>
            </w:rPr>
            <m:t>=</m:t>
          </m:r>
          <m:r>
            <m:rPr/>
            <w:rPr>
              <w:rFonts w:ascii="Cambria Math" w:hAnsi="Cambria Math"/>
              <w:szCs w:val="28"/>
            </w:rPr>
            <m:t>Q×e×L×</m:t>
          </m:r>
          <m:f>
            <m:fPr>
              <m:ctrlPr>
                <w:rPr>
                  <w:rFonts w:ascii="Cambria Math" w:hAnsi="Cambria Math"/>
                  <w:szCs w:val="28"/>
                </w:rPr>
              </m:ctrlPr>
            </m:fPr>
            <m:num>
              <m:r>
                <m:rPr/>
                <w:rPr>
                  <w:rFonts w:ascii="Cambria Math" w:hAnsi="Cambria Math"/>
                  <w:szCs w:val="28"/>
                </w:rPr>
                <m:t>k</m:t>
              </m:r>
              <m:ctrlPr>
                <w:rPr>
                  <w:rFonts w:ascii="Cambria Math" w:hAnsi="Cambria Math"/>
                  <w:i/>
                  <w:szCs w:val="28"/>
                </w:rPr>
              </m:ctrlPr>
            </m:num>
            <m:den>
              <m:r>
                <m:rPr>
                  <m:sty m:val="p"/>
                </m:rPr>
                <w:rPr>
                  <w:rFonts w:ascii="Cambria Math" w:hAnsi="Cambria Math"/>
                  <w:szCs w:val="28"/>
                </w:rPr>
                <m:t>100</m:t>
              </m:r>
              <m:ctrlPr>
                <w:rPr>
                  <w:rFonts w:ascii="Cambria Math" w:hAnsi="Cambria Math"/>
                  <w:szCs w:val="28"/>
                </w:rPr>
              </m:ctrlPr>
            </m:den>
          </m:f>
        </m:oMath>
      </m:oMathPara>
    </w:p>
    <w:p>
      <w:pPr>
        <w:ind w:firstLine="560"/>
        <w:rPr>
          <w:rFonts w:hint="eastAsia"/>
          <w:szCs w:val="28"/>
        </w:rPr>
      </w:pPr>
      <w:r>
        <w:rPr>
          <w:szCs w:val="28"/>
        </w:rPr>
        <w:t>式中：</w:t>
      </w:r>
    </w:p>
    <w:p>
      <w:pPr>
        <w:ind w:firstLine="560"/>
        <w:rPr>
          <w:rFonts w:hint="eastAsia"/>
          <w:iCs/>
          <w:szCs w:val="28"/>
        </w:rPr>
      </w:pPr>
      <w:r>
        <w:rPr>
          <w:i/>
          <w:szCs w:val="28"/>
        </w:rPr>
        <w:t>E</w:t>
      </w:r>
      <w:r>
        <w:rPr>
          <w:iCs/>
          <w:szCs w:val="28"/>
        </w:rPr>
        <w:t>—某一类型电动汽车年均充电总量；</w:t>
      </w:r>
    </w:p>
    <w:p>
      <w:pPr>
        <w:ind w:firstLine="560"/>
        <w:rPr>
          <w:rFonts w:hint="eastAsia"/>
          <w:iCs/>
          <w:szCs w:val="28"/>
        </w:rPr>
      </w:pPr>
      <w:r>
        <w:rPr>
          <w:i/>
          <w:szCs w:val="28"/>
        </w:rPr>
        <w:t>Q</w:t>
      </w:r>
      <w:r>
        <w:rPr>
          <w:iCs/>
          <w:szCs w:val="28"/>
        </w:rPr>
        <w:t>—某一类型电动汽车</w:t>
      </w:r>
      <w:r>
        <w:rPr>
          <w:rFonts w:hint="eastAsia"/>
          <w:iCs/>
          <w:szCs w:val="28"/>
        </w:rPr>
        <w:t>年末</w:t>
      </w:r>
      <w:r>
        <w:rPr>
          <w:iCs/>
          <w:szCs w:val="28"/>
        </w:rPr>
        <w:t>保有量规模；</w:t>
      </w:r>
    </w:p>
    <w:p>
      <w:pPr>
        <w:ind w:firstLine="560"/>
        <w:rPr>
          <w:rFonts w:hint="eastAsia"/>
          <w:iCs/>
          <w:szCs w:val="28"/>
        </w:rPr>
      </w:pPr>
      <m:oMath>
        <m:r>
          <m:rPr/>
          <w:rPr>
            <w:rFonts w:ascii="Cambria Math" w:hAnsi="Cambria Math"/>
            <w:szCs w:val="28"/>
          </w:rPr>
          <m:t>∆Q</m:t>
        </m:r>
      </m:oMath>
      <w:r>
        <w:rPr>
          <w:iCs/>
          <w:szCs w:val="28"/>
        </w:rPr>
        <w:t>—</w:t>
      </w:r>
      <w:r>
        <w:rPr>
          <w:rFonts w:hint="eastAsia"/>
          <w:iCs/>
          <w:szCs w:val="28"/>
        </w:rPr>
        <w:t>电动汽车保有量当年新增数量;</w:t>
      </w:r>
    </w:p>
    <w:p>
      <w:pPr>
        <w:ind w:firstLine="560"/>
        <w:rPr>
          <w:rFonts w:hint="eastAsia"/>
          <w:iCs/>
          <w:szCs w:val="28"/>
        </w:rPr>
      </w:pPr>
      <m:oMath>
        <m:r>
          <m:rPr/>
          <w:rPr>
            <w:rFonts w:ascii="Cambria Math" w:hAnsi="Cambria Math"/>
            <w:szCs w:val="28"/>
          </w:rPr>
          <m:t>e</m:t>
        </m:r>
      </m:oMath>
      <w:r>
        <w:rPr>
          <w:iCs/>
          <w:szCs w:val="28"/>
        </w:rPr>
        <w:t>—某一类型电动汽车百公里平均耗电量；</w:t>
      </w:r>
    </w:p>
    <w:p>
      <w:pPr>
        <w:ind w:firstLine="560"/>
        <w:rPr>
          <w:rFonts w:hint="eastAsia"/>
          <w:iCs/>
          <w:szCs w:val="28"/>
        </w:rPr>
      </w:pPr>
      <w:r>
        <w:rPr>
          <w:i/>
          <w:iCs/>
          <w:szCs w:val="28"/>
        </w:rPr>
        <w:t>L</w:t>
      </w:r>
      <w:r>
        <w:rPr>
          <w:iCs/>
          <w:szCs w:val="28"/>
        </w:rPr>
        <w:t>—某一类型电动汽车的年均行驶里程数（根据历史数据统计）；</w:t>
      </w:r>
    </w:p>
    <w:p>
      <w:pPr>
        <w:ind w:firstLine="560"/>
        <w:rPr>
          <w:rFonts w:hint="eastAsia"/>
          <w:iCs/>
          <w:szCs w:val="28"/>
        </w:rPr>
      </w:pPr>
      <w:r>
        <w:rPr>
          <w:i/>
          <w:iCs/>
          <w:szCs w:val="28"/>
        </w:rPr>
        <w:t>k</w:t>
      </w:r>
      <w:r>
        <w:rPr>
          <w:iCs/>
          <w:szCs w:val="28"/>
        </w:rPr>
        <w:t>—某一类型电动汽车的保有量中位数折算系数。</w:t>
      </w:r>
    </w:p>
    <w:p>
      <w:pPr>
        <w:ind w:firstLine="560"/>
        <w:rPr>
          <w:rFonts w:hint="eastAsia"/>
          <w:szCs w:val="28"/>
        </w:rPr>
      </w:pPr>
      <w:r>
        <w:rPr>
          <w:rFonts w:hint="eastAsia"/>
          <w:szCs w:val="28"/>
        </w:rPr>
        <w:t>考虑到一年中电动汽车的保有量是一个动态增长的过程，直接采用电动汽车年末保有量规模，会造成充电量需求预测偏高。因此引入中位数折算系数</w:t>
      </w:r>
      <w:r>
        <w:rPr>
          <w:i/>
          <w:iCs/>
          <w:szCs w:val="28"/>
        </w:rPr>
        <w:t>k</w:t>
      </w:r>
      <w:r>
        <w:rPr>
          <w:rFonts w:hint="eastAsia"/>
          <w:szCs w:val="28"/>
        </w:rPr>
        <w:t>进行修正，其取值需根据电动汽车保有量增长曲线进行确定。</w:t>
      </w:r>
    </w:p>
    <w:p>
      <w:pPr>
        <w:ind w:firstLine="560"/>
        <w:rPr>
          <w:rFonts w:hint="eastAsia"/>
          <w:szCs w:val="28"/>
        </w:rPr>
      </w:pPr>
      <w:r>
        <w:rPr>
          <w:szCs w:val="28"/>
        </w:rPr>
        <w:t>（2）充电总功率计算方法如下：</w:t>
      </w:r>
    </w:p>
    <w:p>
      <w:pPr>
        <w:ind w:firstLine="560"/>
        <w:jc w:val="center"/>
        <w:rPr>
          <w:rFonts w:hint="eastAsia"/>
          <w:szCs w:val="28"/>
        </w:rPr>
      </w:pPr>
      <m:oMath>
        <m:sSub>
          <m:sSubPr>
            <m:ctrlPr>
              <w:rPr>
                <w:rFonts w:ascii="Cambria Math" w:hAnsi="Cambria Math"/>
                <w:i/>
                <w:iCs/>
                <w:szCs w:val="28"/>
              </w:rPr>
            </m:ctrlPr>
          </m:sSubPr>
          <m:e>
            <m:r>
              <m:rPr/>
              <w:rPr>
                <w:rFonts w:ascii="Cambria Math" w:hAnsi="Cambria Math"/>
                <w:szCs w:val="28"/>
              </w:rPr>
              <m:t>P</m:t>
            </m:r>
            <m:ctrlPr>
              <w:rPr>
                <w:rFonts w:ascii="Cambria Math" w:hAnsi="Cambria Math"/>
                <w:i/>
                <w:iCs/>
                <w:szCs w:val="28"/>
              </w:rPr>
            </m:ctrlPr>
          </m:e>
          <m:sub>
            <m:r>
              <m:rPr>
                <m:sty m:val="p"/>
              </m:rPr>
              <w:rPr>
                <w:rFonts w:ascii="Cambria Math" w:hAnsi="Cambria Math"/>
                <w:szCs w:val="28"/>
              </w:rPr>
              <m:t>公共</m:t>
            </m:r>
            <m:ctrlPr>
              <w:rPr>
                <w:rFonts w:ascii="Cambria Math" w:hAnsi="Cambria Math"/>
                <w:i/>
                <w:iCs/>
                <w:szCs w:val="28"/>
              </w:rPr>
            </m:ctrlPr>
          </m:sub>
        </m:sSub>
        <m:r>
          <m:rPr/>
          <w:rPr>
            <w:rFonts w:ascii="Cambria Math" w:hAnsi="Cambria Math"/>
            <w:szCs w:val="28"/>
          </w:rPr>
          <m:t>=</m:t>
        </m:r>
        <m:nary>
          <m:naryPr>
            <m:chr m:val="∑"/>
            <m:limLoc m:val="undOvr"/>
            <m:subHide m:val="1"/>
            <m:supHide m:val="1"/>
            <m:ctrlPr>
              <w:rPr>
                <w:rFonts w:ascii="Cambria Math" w:hAnsi="Cambria Math"/>
                <w:szCs w:val="28"/>
              </w:rPr>
            </m:ctrlPr>
          </m:naryPr>
          <m:sub>
            <m:ctrlPr>
              <w:rPr>
                <w:rFonts w:ascii="Cambria Math" w:hAnsi="Cambria Math"/>
                <w:szCs w:val="28"/>
              </w:rPr>
            </m:ctrlPr>
          </m:sub>
          <m:sup>
            <m:ctrlPr>
              <w:rPr>
                <w:rFonts w:ascii="Cambria Math" w:hAnsi="Cambria Math"/>
                <w:szCs w:val="28"/>
              </w:rPr>
            </m:ctrlPr>
          </m:sup>
          <m:e>
            <m:r>
              <m:rPr/>
              <w:rPr>
                <w:rFonts w:ascii="Cambria Math" w:hAnsi="Cambria Math"/>
                <w:szCs w:val="28"/>
              </w:rPr>
              <m:t>(</m:t>
            </m:r>
            <m:sSub>
              <m:sSubPr>
                <m:ctrlPr>
                  <w:rPr>
                    <w:rFonts w:ascii="Cambria Math" w:hAnsi="Cambria Math"/>
                    <w:i/>
                    <w:iCs/>
                    <w:szCs w:val="28"/>
                  </w:rPr>
                </m:ctrlPr>
              </m:sSubPr>
              <m:e>
                <m:r>
                  <m:rPr/>
                  <w:rPr>
                    <w:rFonts w:ascii="Cambria Math" w:hAnsi="Cambria Math"/>
                    <w:szCs w:val="28"/>
                  </w:rPr>
                  <m:t>E</m:t>
                </m:r>
                <m:ctrlPr>
                  <w:rPr>
                    <w:rFonts w:ascii="Cambria Math" w:hAnsi="Cambria Math"/>
                    <w:i/>
                    <w:iCs/>
                    <w:szCs w:val="28"/>
                  </w:rPr>
                </m:ctrlPr>
              </m:e>
              <m:sub>
                <m:r>
                  <m:rPr/>
                  <w:rPr>
                    <w:rFonts w:ascii="Cambria Math" w:hAnsi="Cambria Math"/>
                    <w:szCs w:val="28"/>
                  </w:rPr>
                  <m:t>i</m:t>
                </m:r>
                <m:ctrlPr>
                  <w:rPr>
                    <w:rFonts w:ascii="Cambria Math" w:hAnsi="Cambria Math"/>
                    <w:i/>
                    <w:iCs/>
                    <w:szCs w:val="28"/>
                  </w:rPr>
                </m:ctrlPr>
              </m:sub>
            </m:sSub>
            <m:r>
              <m:rPr/>
              <w:rPr>
                <w:rFonts w:ascii="Cambria Math" w:hAnsi="Cambria Math"/>
                <w:szCs w:val="28"/>
              </w:rPr>
              <m:t>×</m:t>
            </m:r>
            <m:sSub>
              <m:sSubPr>
                <m:ctrlPr>
                  <w:rPr>
                    <w:rFonts w:ascii="Cambria Math" w:hAnsi="Cambria Math"/>
                    <w:i/>
                    <w:szCs w:val="28"/>
                  </w:rPr>
                </m:ctrlPr>
              </m:sSubPr>
              <m:e>
                <m:r>
                  <m:rPr/>
                  <w:rPr>
                    <w:rFonts w:ascii="Cambria Math" w:hAnsi="Cambria Math"/>
                    <w:szCs w:val="28"/>
                  </w:rPr>
                  <m:t>n</m:t>
                </m:r>
                <m:ctrlPr>
                  <w:rPr>
                    <w:rFonts w:ascii="Cambria Math" w:hAnsi="Cambria Math"/>
                    <w:i/>
                    <w:szCs w:val="28"/>
                  </w:rPr>
                </m:ctrlPr>
              </m:e>
              <m:sub>
                <m:r>
                  <m:rPr/>
                  <w:rPr>
                    <w:rFonts w:ascii="Cambria Math" w:hAnsi="Cambria Math"/>
                    <w:szCs w:val="28"/>
                  </w:rPr>
                  <m:t>i</m:t>
                </m:r>
                <m:ctrlPr>
                  <w:rPr>
                    <w:rFonts w:ascii="Cambria Math" w:hAnsi="Cambria Math"/>
                    <w:i/>
                    <w:szCs w:val="28"/>
                  </w:rPr>
                </m:ctrlPr>
              </m:sub>
            </m:sSub>
            <m:ctrlPr>
              <w:rPr>
                <w:rFonts w:ascii="Cambria Math" w:hAnsi="Cambria Math"/>
                <w:szCs w:val="28"/>
              </w:rPr>
            </m:ctrlPr>
          </m:e>
        </m:nary>
        <m:r>
          <m:rPr>
            <m:sty m:val="p"/>
          </m:rPr>
          <w:rPr>
            <w:rFonts w:ascii="Cambria Math" w:hAnsi="Cambria Math"/>
            <w:szCs w:val="28"/>
          </w:rPr>
          <m:t>)/</m:t>
        </m:r>
        <m:r>
          <m:rPr/>
          <w:rPr>
            <w:rFonts w:ascii="Cambria Math" w:hAnsi="Cambria Math"/>
            <w:szCs w:val="28"/>
          </w:rPr>
          <m:t>(</m:t>
        </m:r>
        <m:sSub>
          <m:sSubPr>
            <m:ctrlPr>
              <w:rPr>
                <w:rFonts w:ascii="Cambria Math" w:hAnsi="Cambria Math"/>
                <w:i/>
                <w:iCs/>
                <w:szCs w:val="28"/>
              </w:rPr>
            </m:ctrlPr>
          </m:sSubPr>
          <m:e>
            <m:r>
              <m:rPr/>
              <w:rPr>
                <w:rFonts w:ascii="Cambria Math" w:hAnsi="Cambria Math"/>
                <w:szCs w:val="28"/>
              </w:rPr>
              <m:t>t</m:t>
            </m:r>
            <m:ctrlPr>
              <w:rPr>
                <w:rFonts w:ascii="Cambria Math" w:hAnsi="Cambria Math"/>
                <w:i/>
                <w:iCs/>
                <w:szCs w:val="28"/>
              </w:rPr>
            </m:ctrlPr>
          </m:e>
          <m:sub>
            <m:r>
              <m:rPr>
                <m:sty m:val="p"/>
              </m:rPr>
              <w:rPr>
                <w:rFonts w:ascii="Cambria Math" w:hAnsi="Cambria Math"/>
                <w:szCs w:val="28"/>
              </w:rPr>
              <m:t>公共</m:t>
            </m:r>
            <m:ctrlPr>
              <w:rPr>
                <w:rFonts w:ascii="Cambria Math" w:hAnsi="Cambria Math"/>
                <w:i/>
                <w:iCs/>
                <w:szCs w:val="28"/>
              </w:rPr>
            </m:ctrlPr>
          </m:sub>
        </m:sSub>
        <m:r>
          <m:rPr/>
          <w:rPr>
            <w:rFonts w:ascii="Cambria Math" w:hAnsi="Cambria Math"/>
            <w:szCs w:val="28"/>
          </w:rPr>
          <m:t>×365</m:t>
        </m:r>
      </m:oMath>
      <w:r>
        <w:rPr>
          <w:szCs w:val="28"/>
        </w:rPr>
        <w:t>)</w:t>
      </w:r>
    </w:p>
    <w:p>
      <w:pPr>
        <w:ind w:firstLine="560"/>
        <w:rPr>
          <w:rFonts w:hint="eastAsia"/>
          <w:szCs w:val="28"/>
        </w:rPr>
      </w:pPr>
      <w:r>
        <w:rPr>
          <w:szCs w:val="28"/>
        </w:rPr>
        <w:t>式中：</w:t>
      </w:r>
    </w:p>
    <w:p>
      <w:pPr>
        <w:ind w:firstLine="560"/>
        <w:rPr>
          <w:rFonts w:hint="eastAsia"/>
          <w:iCs/>
          <w:szCs w:val="28"/>
        </w:rPr>
      </w:pPr>
      <w:r>
        <w:rPr>
          <w:i/>
          <w:iCs/>
          <w:szCs w:val="28"/>
        </w:rPr>
        <w:t>P</w:t>
      </w:r>
      <w:r>
        <w:rPr>
          <w:iCs/>
          <w:szCs w:val="28"/>
          <w:vertAlign w:val="subscript"/>
        </w:rPr>
        <w:t>公共</w:t>
      </w:r>
      <w:r>
        <w:rPr>
          <w:iCs/>
          <w:szCs w:val="28"/>
        </w:rPr>
        <w:t>—</w:t>
      </w:r>
      <w:r>
        <w:rPr>
          <w:bCs/>
          <w:spacing w:val="-6"/>
          <w:kern w:val="0"/>
          <w:szCs w:val="28"/>
        </w:rPr>
        <w:t>公共充电设施的充电总功率</w:t>
      </w:r>
      <w:r>
        <w:rPr>
          <w:szCs w:val="28"/>
        </w:rPr>
        <w:t>；</w:t>
      </w:r>
    </w:p>
    <w:p>
      <w:pPr>
        <w:ind w:firstLine="560"/>
        <w:rPr>
          <w:rFonts w:hint="eastAsia"/>
          <w:szCs w:val="28"/>
        </w:rPr>
      </w:pPr>
      <w:r>
        <w:rPr>
          <w:i/>
          <w:iCs/>
          <w:szCs w:val="28"/>
        </w:rPr>
        <w:t>E</w:t>
      </w:r>
      <w:r>
        <w:rPr>
          <w:i/>
          <w:iCs/>
          <w:szCs w:val="28"/>
          <w:vertAlign w:val="subscript"/>
        </w:rPr>
        <w:t>i</w:t>
      </w:r>
      <w:r>
        <w:rPr>
          <w:iCs/>
          <w:szCs w:val="28"/>
        </w:rPr>
        <w:t>—某一类型电动汽车</w:t>
      </w:r>
      <w:r>
        <w:rPr>
          <w:szCs w:val="28"/>
        </w:rPr>
        <w:t>的</w:t>
      </w:r>
      <w:r>
        <w:rPr>
          <w:iCs/>
          <w:szCs w:val="28"/>
        </w:rPr>
        <w:t>年均充电总量</w:t>
      </w:r>
      <w:r>
        <w:rPr>
          <w:szCs w:val="28"/>
        </w:rPr>
        <w:t>；</w:t>
      </w:r>
    </w:p>
    <w:p>
      <w:pPr>
        <w:ind w:firstLine="560"/>
        <w:rPr>
          <w:rFonts w:hint="eastAsia"/>
          <w:szCs w:val="28"/>
        </w:rPr>
      </w:pPr>
      <w:r>
        <w:rPr>
          <w:i/>
          <w:szCs w:val="28"/>
        </w:rPr>
        <w:t>n</w:t>
      </w:r>
      <w:r>
        <w:rPr>
          <w:i/>
          <w:szCs w:val="28"/>
          <w:vertAlign w:val="subscript"/>
        </w:rPr>
        <w:t>i</w:t>
      </w:r>
      <w:r>
        <w:rPr>
          <w:iCs/>
          <w:szCs w:val="28"/>
        </w:rPr>
        <w:t>—某一类型</w:t>
      </w:r>
      <w:r>
        <w:rPr>
          <w:szCs w:val="28"/>
        </w:rPr>
        <w:t>电动汽车的公共领域充电量占年均充电总量比例；</w:t>
      </w:r>
    </w:p>
    <w:p>
      <w:pPr>
        <w:ind w:firstLine="560"/>
        <w:rPr>
          <w:rFonts w:hint="eastAsia"/>
          <w:iCs/>
          <w:szCs w:val="28"/>
        </w:rPr>
      </w:pPr>
      <w:r>
        <w:rPr>
          <w:i/>
          <w:szCs w:val="28"/>
        </w:rPr>
        <w:t>i</w:t>
      </w:r>
      <w:r>
        <w:rPr>
          <w:iCs/>
          <w:szCs w:val="28"/>
        </w:rPr>
        <w:t>—有公共充电需求的电动汽车类型，一般包括私人乘用车、出租车、网约车、物流车等；</w:t>
      </w:r>
    </w:p>
    <w:p>
      <w:pPr>
        <w:ind w:firstLine="560"/>
        <w:rPr>
          <w:rFonts w:hint="eastAsia"/>
          <w:szCs w:val="28"/>
        </w:rPr>
      </w:pPr>
      <w:r>
        <w:rPr>
          <w:i/>
          <w:iCs/>
          <w:szCs w:val="28"/>
        </w:rPr>
        <w:t>t</w:t>
      </w:r>
      <w:r>
        <w:rPr>
          <w:iCs/>
          <w:szCs w:val="28"/>
          <w:vertAlign w:val="subscript"/>
        </w:rPr>
        <w:t>公共</w:t>
      </w:r>
      <w:r>
        <w:rPr>
          <w:iCs/>
          <w:szCs w:val="28"/>
        </w:rPr>
        <w:t>—</w:t>
      </w:r>
      <w:r>
        <w:rPr>
          <w:szCs w:val="28"/>
        </w:rPr>
        <w:t>公共充电设施日利用小时数。</w:t>
      </w:r>
    </w:p>
    <w:p>
      <w:pPr>
        <w:ind w:firstLine="560"/>
        <w:rPr>
          <w:rFonts w:hint="eastAsia"/>
          <w:iCs/>
          <w:szCs w:val="28"/>
        </w:rPr>
      </w:pPr>
      <w:r>
        <w:rPr>
          <w:iCs/>
          <w:szCs w:val="28"/>
        </w:rPr>
        <w:t>（3）充电设施总桩数计算方法如下：</w:t>
      </w:r>
    </w:p>
    <w:p>
      <w:pPr>
        <w:ind w:firstLine="560"/>
        <w:rPr>
          <w:rFonts w:hint="eastAsia"/>
        </w:rPr>
      </w:pPr>
      <m:oMathPara>
        <m:oMath>
          <m:sSub>
            <m:sSubPr>
              <m:ctrlPr>
                <w:rPr>
                  <w:rFonts w:ascii="Cambria Math" w:hAnsi="Cambria Math"/>
                  <w:i/>
                  <w:szCs w:val="28"/>
                </w:rPr>
              </m:ctrlPr>
            </m:sSubPr>
            <m:e>
              <m:r>
                <m:rPr/>
                <w:rPr>
                  <w:rFonts w:ascii="Cambria Math" w:hAnsi="Cambria Math"/>
                  <w:szCs w:val="28"/>
                </w:rPr>
                <m:t>N</m:t>
              </m:r>
              <m:ctrlPr>
                <w:rPr>
                  <w:rFonts w:ascii="Cambria Math" w:hAnsi="Cambria Math"/>
                  <w:i/>
                  <w:szCs w:val="28"/>
                </w:rPr>
              </m:ctrlPr>
            </m:e>
            <m:sub>
              <m:r>
                <m:rPr/>
                <w:rPr>
                  <w:rFonts w:ascii="Cambria Math" w:hAnsi="Cambria Math"/>
                  <w:szCs w:val="28"/>
                </w:rPr>
                <m:t>公共</m:t>
              </m:r>
              <m:ctrlPr>
                <w:rPr>
                  <w:rFonts w:ascii="Cambria Math" w:hAnsi="Cambria Math"/>
                  <w:i/>
                  <w:szCs w:val="28"/>
                </w:rPr>
              </m:ctrlPr>
            </m:sub>
          </m:sSub>
          <m:r>
            <m:rPr/>
            <w:rPr>
              <w:rFonts w:ascii="Cambria Math" w:hAnsi="Cambria Math"/>
              <w:szCs w:val="28"/>
            </w:rPr>
            <m:t>=</m:t>
          </m:r>
          <m:f>
            <m:fPr>
              <m:ctrlPr>
                <w:rPr>
                  <w:rFonts w:ascii="Cambria Math" w:hAnsi="Cambria Math"/>
                  <w:i/>
                  <w:szCs w:val="28"/>
                </w:rPr>
              </m:ctrlPr>
            </m:fPr>
            <m:num>
              <m:sSub>
                <m:sSubPr>
                  <m:ctrlPr>
                    <w:rPr>
                      <w:rFonts w:ascii="Cambria Math" w:hAnsi="Cambria Math"/>
                      <w:i/>
                      <w:szCs w:val="28"/>
                    </w:rPr>
                  </m:ctrlPr>
                </m:sSubPr>
                <m:e>
                  <m:r>
                    <m:rPr/>
                    <w:rPr>
                      <w:rFonts w:hint="eastAsia" w:ascii="Cambria Math" w:hAnsi="Cambria Math"/>
                      <w:szCs w:val="28"/>
                    </w:rPr>
                    <m:t>P</m:t>
                  </m:r>
                  <m:ctrlPr>
                    <w:rPr>
                      <w:rFonts w:ascii="Cambria Math" w:hAnsi="Cambria Math"/>
                      <w:i/>
                      <w:szCs w:val="28"/>
                    </w:rPr>
                  </m:ctrlPr>
                </m:e>
                <m:sub>
                  <m:r>
                    <m:rPr/>
                    <w:rPr>
                      <w:rFonts w:ascii="Cambria Math" w:hAnsi="Cambria Math"/>
                      <w:szCs w:val="28"/>
                    </w:rPr>
                    <m:t>公共</m:t>
                  </m:r>
                  <m:ctrlPr>
                    <w:rPr>
                      <w:rFonts w:ascii="Cambria Math" w:hAnsi="Cambria Math"/>
                      <w:i/>
                      <w:szCs w:val="28"/>
                    </w:rPr>
                  </m:ctrlPr>
                </m:sub>
              </m:sSub>
              <m:ctrlPr>
                <w:rPr>
                  <w:rFonts w:hint="eastAsia" w:ascii="Cambria Math" w:hAnsi="Cambria Math"/>
                  <w:i/>
                  <w:szCs w:val="28"/>
                </w:rPr>
              </m:ctrlPr>
            </m:num>
            <m:den>
              <m:sSub>
                <m:sSubPr>
                  <m:ctrlPr>
                    <w:rPr>
                      <w:rFonts w:ascii="Cambria Math" w:hAnsi="Cambria Math"/>
                      <w:i/>
                      <w:szCs w:val="28"/>
                    </w:rPr>
                  </m:ctrlPr>
                </m:sSubPr>
                <m:e>
                  <m:r>
                    <m:rPr/>
                    <w:rPr>
                      <w:rFonts w:ascii="Cambria Math" w:hAnsi="Cambria Math"/>
                      <w:szCs w:val="28"/>
                    </w:rPr>
                    <m:t>P</m:t>
                  </m:r>
                  <m:ctrlPr>
                    <w:rPr>
                      <w:rFonts w:ascii="Cambria Math" w:hAnsi="Cambria Math"/>
                      <w:i/>
                      <w:szCs w:val="28"/>
                    </w:rPr>
                  </m:ctrlPr>
                </m:e>
                <m:sub>
                  <m:r>
                    <m:rPr/>
                    <w:rPr>
                      <w:rFonts w:ascii="Cambria Math" w:hAnsi="Cambria Math"/>
                      <w:szCs w:val="28"/>
                    </w:rPr>
                    <m:t>标准桩</m:t>
                  </m:r>
                  <m:ctrlPr>
                    <w:rPr>
                      <w:rFonts w:ascii="Cambria Math" w:hAnsi="Cambria Math"/>
                      <w:i/>
                      <w:szCs w:val="28"/>
                    </w:rPr>
                  </m:ctrlPr>
                </m:sub>
              </m:sSub>
              <m:ctrlPr>
                <w:rPr>
                  <w:rFonts w:ascii="Cambria Math" w:hAnsi="Cambria Math"/>
                  <w:i/>
                  <w:szCs w:val="28"/>
                </w:rPr>
              </m:ctrlPr>
            </m:den>
          </m:f>
        </m:oMath>
      </m:oMathPara>
    </w:p>
    <w:p>
      <w:pPr>
        <w:ind w:firstLine="560"/>
        <w:rPr>
          <w:rFonts w:hint="eastAsia"/>
          <w:szCs w:val="28"/>
        </w:rPr>
      </w:pPr>
      <m:oMath>
        <m:sSub>
          <m:sSubPr>
            <m:ctrlPr>
              <w:rPr>
                <w:rFonts w:ascii="Cambria Math" w:hAnsi="Cambria Math"/>
                <w:i/>
                <w:szCs w:val="28"/>
              </w:rPr>
            </m:ctrlPr>
          </m:sSubPr>
          <m:e>
            <m:r>
              <m:rPr/>
              <w:rPr>
                <w:rFonts w:ascii="Cambria Math" w:hAnsi="Cambria Math"/>
                <w:szCs w:val="28"/>
              </w:rPr>
              <m:t>P</m:t>
            </m:r>
            <m:ctrlPr>
              <w:rPr>
                <w:rFonts w:ascii="Cambria Math" w:hAnsi="Cambria Math"/>
                <w:i/>
                <w:szCs w:val="28"/>
              </w:rPr>
            </m:ctrlPr>
          </m:e>
          <m:sub>
            <m:r>
              <m:rPr/>
              <w:rPr>
                <w:rFonts w:ascii="Cambria Math" w:hAnsi="Cambria Math"/>
                <w:szCs w:val="28"/>
              </w:rPr>
              <m:t>标准桩</m:t>
            </m:r>
            <m:ctrlPr>
              <w:rPr>
                <w:rFonts w:ascii="Cambria Math" w:hAnsi="Cambria Math"/>
                <w:i/>
                <w:szCs w:val="28"/>
              </w:rPr>
            </m:ctrlPr>
          </m:sub>
        </m:sSub>
      </m:oMath>
      <w:r>
        <w:rPr>
          <w:iCs/>
          <w:szCs w:val="28"/>
        </w:rPr>
        <w:t>—</w:t>
      </w:r>
      <w:r>
        <w:rPr>
          <w:szCs w:val="28"/>
        </w:rPr>
        <w:t>标准桩的</w:t>
      </w:r>
      <w:r>
        <w:rPr>
          <w:rFonts w:hint="eastAsia"/>
          <w:szCs w:val="28"/>
        </w:rPr>
        <w:t>充电</w:t>
      </w:r>
      <w:r>
        <w:rPr>
          <w:szCs w:val="28"/>
        </w:rPr>
        <w:t>功率，可参考实际情况确定，如选取60kW作为标准桩</w:t>
      </w:r>
      <w:r>
        <w:rPr>
          <w:rFonts w:hint="eastAsia"/>
          <w:szCs w:val="28"/>
        </w:rPr>
        <w:t>。</w:t>
      </w:r>
    </w:p>
    <w:p>
      <w:pPr>
        <w:pStyle w:val="7"/>
      </w:pPr>
      <w:r>
        <w:rPr>
          <w:rFonts w:hint="eastAsia"/>
        </w:rPr>
        <w:t>充电量预测法预测结果</w:t>
      </w:r>
    </w:p>
    <w:tbl>
      <w:tblPr>
        <w:tblStyle w:val="30"/>
        <w:tblW w:w="8505"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985"/>
        <w:gridCol w:w="815"/>
        <w:gridCol w:w="815"/>
        <w:gridCol w:w="815"/>
        <w:gridCol w:w="815"/>
        <w:gridCol w:w="815"/>
        <w:gridCol w:w="815"/>
        <w:gridCol w:w="815"/>
        <w:gridCol w:w="81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5" w:hRule="atLeast"/>
          <w:tblHeader/>
        </w:trPr>
        <w:tc>
          <w:tcPr>
            <w:tcW w:w="198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w:r>
              <w:rPr>
                <w:b/>
                <w:sz w:val="19"/>
              </w:rPr>
              <w:t>电动汽车类型</w:t>
            </w:r>
          </w:p>
        </w:tc>
        <w:tc>
          <w:tcPr>
            <w:tcW w:w="81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w:r>
              <w:rPr>
                <w:rFonts w:hint="eastAsia"/>
                <w:b/>
                <w:sz w:val="19"/>
              </w:rPr>
              <w:t>私家车</w:t>
            </w:r>
          </w:p>
        </w:tc>
        <w:tc>
          <w:tcPr>
            <w:tcW w:w="81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w:r>
              <w:rPr>
                <w:rFonts w:hint="eastAsia"/>
                <w:b/>
                <w:sz w:val="19"/>
              </w:rPr>
              <w:t>租赁车</w:t>
            </w:r>
          </w:p>
        </w:tc>
        <w:tc>
          <w:tcPr>
            <w:tcW w:w="81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w:r>
              <w:rPr>
                <w:rFonts w:hint="eastAsia"/>
                <w:b/>
                <w:sz w:val="19"/>
              </w:rPr>
              <w:t>公交车</w:t>
            </w:r>
          </w:p>
        </w:tc>
        <w:tc>
          <w:tcPr>
            <w:tcW w:w="81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w:r>
              <w:rPr>
                <w:rFonts w:hint="eastAsia"/>
                <w:b/>
                <w:sz w:val="19"/>
              </w:rPr>
              <w:t>环卫车</w:t>
            </w:r>
          </w:p>
        </w:tc>
        <w:tc>
          <w:tcPr>
            <w:tcW w:w="81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w:r>
              <w:rPr>
                <w:rFonts w:hint="eastAsia"/>
                <w:b/>
                <w:sz w:val="19"/>
              </w:rPr>
              <w:t>出租车</w:t>
            </w:r>
          </w:p>
        </w:tc>
        <w:tc>
          <w:tcPr>
            <w:tcW w:w="81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w:r>
              <w:rPr>
                <w:rFonts w:hint="eastAsia"/>
                <w:b/>
                <w:sz w:val="19"/>
              </w:rPr>
              <w:t>物流车</w:t>
            </w:r>
          </w:p>
        </w:tc>
        <w:tc>
          <w:tcPr>
            <w:tcW w:w="81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w:r>
              <w:rPr>
                <w:rFonts w:hint="eastAsia"/>
                <w:b/>
                <w:sz w:val="19"/>
              </w:rPr>
              <w:t>公务车</w:t>
            </w:r>
          </w:p>
        </w:tc>
        <w:tc>
          <w:tcPr>
            <w:tcW w:w="815" w:type="dxa"/>
            <w:shd w:val="clear" w:color="auto" w:fill="auto"/>
            <w:tcMar>
              <w:top w:w="30" w:type="dxa"/>
              <w:left w:w="45" w:type="dxa"/>
              <w:bottom w:w="30" w:type="dxa"/>
              <w:right w:w="45" w:type="dxa"/>
            </w:tcMar>
            <w:vAlign w:val="center"/>
          </w:tcPr>
          <w:p>
            <w:pPr>
              <w:spacing w:line="240" w:lineRule="auto"/>
              <w:jc w:val="center"/>
              <w:rPr>
                <w:rFonts w:hint="eastAsia"/>
                <w:b/>
                <w:sz w:val="19"/>
              </w:rPr>
            </w:pPr>
            <w:r>
              <w:rPr>
                <w:rFonts w:hint="eastAsia"/>
                <w:b/>
                <w:sz w:val="19"/>
              </w:rPr>
              <w:t>客运班车</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98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w:r>
              <w:rPr>
                <w:b/>
                <w:sz w:val="19"/>
              </w:rPr>
              <w:t>Q（辆）</w:t>
            </w:r>
          </w:p>
        </w:tc>
        <w:tc>
          <w:tcPr>
            <w:tcW w:w="815" w:type="dxa"/>
            <w:shd w:val="clear" w:color="auto" w:fill="auto"/>
            <w:noWrap/>
            <w:tcMar>
              <w:top w:w="30" w:type="dxa"/>
              <w:left w:w="45" w:type="dxa"/>
              <w:bottom w:w="30" w:type="dxa"/>
              <w:right w:w="45" w:type="dxa"/>
            </w:tcMar>
            <w:vAlign w:val="bottom"/>
          </w:tcPr>
          <w:p>
            <w:pPr>
              <w:spacing w:line="240" w:lineRule="auto"/>
              <w:jc w:val="center"/>
              <w:rPr>
                <w:rFonts w:ascii="Cambria Math" w:hAnsi="Cambria Math"/>
                <w:bCs/>
                <w:sz w:val="19"/>
              </w:rPr>
            </w:pPr>
            <w:r>
              <w:rPr>
                <w:rFonts w:hint="eastAsia" w:ascii="Cambria Math" w:hAnsi="Cambria Math"/>
                <w:bCs/>
                <w:sz w:val="19"/>
              </w:rPr>
              <w:t>963</w:t>
            </w:r>
          </w:p>
        </w:tc>
        <w:tc>
          <w:tcPr>
            <w:tcW w:w="815" w:type="dxa"/>
            <w:shd w:val="clear" w:color="auto" w:fill="auto"/>
            <w:noWrap/>
            <w:tcMar>
              <w:top w:w="30" w:type="dxa"/>
              <w:left w:w="45" w:type="dxa"/>
              <w:bottom w:w="30" w:type="dxa"/>
              <w:right w:w="45" w:type="dxa"/>
            </w:tcMar>
            <w:vAlign w:val="bottom"/>
          </w:tcPr>
          <w:p>
            <w:pPr>
              <w:spacing w:line="240" w:lineRule="auto"/>
              <w:jc w:val="center"/>
              <w:rPr>
                <w:rFonts w:ascii="Cambria Math" w:hAnsi="Cambria Math"/>
                <w:bCs/>
                <w:sz w:val="19"/>
              </w:rPr>
            </w:pPr>
            <w:r>
              <w:rPr>
                <w:rFonts w:hint="eastAsia" w:ascii="Cambria Math" w:hAnsi="Cambria Math"/>
                <w:bCs/>
                <w:sz w:val="19"/>
              </w:rPr>
              <w:t>6</w:t>
            </w:r>
          </w:p>
        </w:tc>
        <w:tc>
          <w:tcPr>
            <w:tcW w:w="815" w:type="dxa"/>
            <w:shd w:val="clear" w:color="auto" w:fill="auto"/>
            <w:noWrap/>
            <w:tcMar>
              <w:top w:w="30" w:type="dxa"/>
              <w:left w:w="45" w:type="dxa"/>
              <w:bottom w:w="30" w:type="dxa"/>
              <w:right w:w="45" w:type="dxa"/>
            </w:tcMar>
            <w:vAlign w:val="bottom"/>
          </w:tcPr>
          <w:p>
            <w:pPr>
              <w:spacing w:line="240" w:lineRule="auto"/>
              <w:jc w:val="center"/>
              <w:rPr>
                <w:rFonts w:ascii="Cambria Math" w:hAnsi="Cambria Math"/>
                <w:bCs/>
                <w:sz w:val="19"/>
              </w:rPr>
            </w:pPr>
            <w:r>
              <w:rPr>
                <w:rFonts w:hint="eastAsia" w:ascii="Cambria Math" w:hAnsi="Cambria Math"/>
                <w:bCs/>
                <w:sz w:val="19"/>
              </w:rPr>
              <w:t>50</w:t>
            </w:r>
          </w:p>
        </w:tc>
        <w:tc>
          <w:tcPr>
            <w:tcW w:w="815" w:type="dxa"/>
            <w:shd w:val="clear" w:color="auto" w:fill="auto"/>
            <w:noWrap/>
            <w:tcMar>
              <w:top w:w="30" w:type="dxa"/>
              <w:left w:w="45" w:type="dxa"/>
              <w:bottom w:w="30" w:type="dxa"/>
              <w:right w:w="45" w:type="dxa"/>
            </w:tcMar>
            <w:vAlign w:val="bottom"/>
          </w:tcPr>
          <w:p>
            <w:pPr>
              <w:spacing w:line="240" w:lineRule="auto"/>
              <w:jc w:val="center"/>
              <w:rPr>
                <w:rFonts w:ascii="Cambria Math" w:hAnsi="Cambria Math"/>
                <w:bCs/>
                <w:sz w:val="19"/>
              </w:rPr>
            </w:pPr>
            <w:r>
              <w:rPr>
                <w:rFonts w:hint="eastAsia" w:ascii="Cambria Math" w:hAnsi="Cambria Math"/>
                <w:bCs/>
                <w:sz w:val="19"/>
              </w:rPr>
              <w:t>0</w:t>
            </w:r>
          </w:p>
        </w:tc>
        <w:tc>
          <w:tcPr>
            <w:tcW w:w="815" w:type="dxa"/>
            <w:shd w:val="clear" w:color="auto" w:fill="auto"/>
            <w:noWrap/>
            <w:tcMar>
              <w:top w:w="30" w:type="dxa"/>
              <w:left w:w="45" w:type="dxa"/>
              <w:bottom w:w="30" w:type="dxa"/>
              <w:right w:w="45" w:type="dxa"/>
            </w:tcMar>
            <w:vAlign w:val="bottom"/>
          </w:tcPr>
          <w:p>
            <w:pPr>
              <w:spacing w:line="240" w:lineRule="auto"/>
              <w:jc w:val="center"/>
              <w:rPr>
                <w:rFonts w:ascii="Cambria Math" w:hAnsi="Cambria Math"/>
                <w:bCs/>
                <w:sz w:val="19"/>
              </w:rPr>
            </w:pPr>
            <w:r>
              <w:rPr>
                <w:rFonts w:hint="eastAsia" w:ascii="Cambria Math" w:hAnsi="Cambria Math"/>
                <w:bCs/>
                <w:sz w:val="19"/>
              </w:rPr>
              <w:t>75</w:t>
            </w:r>
          </w:p>
        </w:tc>
        <w:tc>
          <w:tcPr>
            <w:tcW w:w="815" w:type="dxa"/>
            <w:shd w:val="clear" w:color="auto" w:fill="auto"/>
            <w:noWrap/>
            <w:tcMar>
              <w:top w:w="30" w:type="dxa"/>
              <w:left w:w="45" w:type="dxa"/>
              <w:bottom w:w="30" w:type="dxa"/>
              <w:right w:w="45" w:type="dxa"/>
            </w:tcMar>
            <w:vAlign w:val="bottom"/>
          </w:tcPr>
          <w:p>
            <w:pPr>
              <w:spacing w:line="240" w:lineRule="auto"/>
              <w:jc w:val="center"/>
              <w:rPr>
                <w:rFonts w:ascii="Cambria Math" w:hAnsi="Cambria Math"/>
                <w:bCs/>
                <w:sz w:val="19"/>
              </w:rPr>
            </w:pPr>
            <w:r>
              <w:rPr>
                <w:rFonts w:hint="eastAsia" w:ascii="Cambria Math" w:hAnsi="Cambria Math"/>
                <w:bCs/>
                <w:sz w:val="19"/>
              </w:rPr>
              <w:t>0</w:t>
            </w:r>
          </w:p>
        </w:tc>
        <w:tc>
          <w:tcPr>
            <w:tcW w:w="815" w:type="dxa"/>
            <w:shd w:val="clear" w:color="auto" w:fill="auto"/>
            <w:noWrap/>
            <w:tcMar>
              <w:top w:w="30" w:type="dxa"/>
              <w:left w:w="45" w:type="dxa"/>
              <w:bottom w:w="30" w:type="dxa"/>
              <w:right w:w="45" w:type="dxa"/>
            </w:tcMar>
            <w:vAlign w:val="bottom"/>
          </w:tcPr>
          <w:p>
            <w:pPr>
              <w:spacing w:line="240" w:lineRule="auto"/>
              <w:jc w:val="center"/>
              <w:rPr>
                <w:rFonts w:ascii="Cambria Math" w:hAnsi="Cambria Math"/>
                <w:bCs/>
                <w:sz w:val="19"/>
              </w:rPr>
            </w:pPr>
            <w:r>
              <w:rPr>
                <w:rFonts w:hint="eastAsia" w:ascii="Cambria Math" w:hAnsi="Cambria Math"/>
                <w:bCs/>
                <w:sz w:val="19"/>
              </w:rPr>
              <w:t>147</w:t>
            </w:r>
          </w:p>
        </w:tc>
        <w:tc>
          <w:tcPr>
            <w:tcW w:w="815" w:type="dxa"/>
            <w:shd w:val="clear" w:color="auto" w:fill="auto"/>
            <w:noWrap/>
            <w:tcMar>
              <w:top w:w="30" w:type="dxa"/>
              <w:left w:w="45" w:type="dxa"/>
              <w:bottom w:w="30" w:type="dxa"/>
              <w:right w:w="45" w:type="dxa"/>
            </w:tcMar>
            <w:vAlign w:val="bottom"/>
          </w:tcPr>
          <w:p>
            <w:pPr>
              <w:spacing w:line="240" w:lineRule="auto"/>
              <w:jc w:val="center"/>
              <w:rPr>
                <w:rFonts w:ascii="Cambria Math" w:hAnsi="Cambria Math"/>
                <w:bCs/>
                <w:sz w:val="19"/>
              </w:rPr>
            </w:pPr>
            <w:r>
              <w:rPr>
                <w:rFonts w:hint="eastAsia" w:ascii="Cambria Math" w:hAnsi="Cambria Math"/>
                <w:bCs/>
                <w:sz w:val="19"/>
              </w:rPr>
              <w:t>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985" w:type="dxa"/>
            <w:shd w:val="clear" w:color="auto" w:fill="auto"/>
            <w:noWrap/>
            <w:tcMar>
              <w:top w:w="30" w:type="dxa"/>
              <w:left w:w="45" w:type="dxa"/>
              <w:bottom w:w="30" w:type="dxa"/>
              <w:right w:w="45" w:type="dxa"/>
            </w:tcMar>
            <w:vAlign w:val="center"/>
          </w:tcPr>
          <w:p>
            <w:pPr>
              <w:spacing w:line="240" w:lineRule="auto"/>
              <w:jc w:val="center"/>
              <w:rPr>
                <w:rFonts w:hint="eastAsia"/>
                <w:bCs/>
                <w:sz w:val="19"/>
              </w:rPr>
            </w:pPr>
            <m:oMathPara>
              <m:oMath>
                <m:r>
                  <m:rPr>
                    <m:sty m:val="p"/>
                  </m:rPr>
                  <w:rPr>
                    <w:rFonts w:ascii="Cambria Math" w:hAnsi="Cambria Math"/>
                    <w:sz w:val="19"/>
                  </w:rPr>
                  <m:t>∆</m:t>
                </m:r>
                <m:r>
                  <m:rPr/>
                  <w:rPr>
                    <w:rFonts w:ascii="Cambria Math" w:hAnsi="Cambria Math"/>
                    <w:sz w:val="19"/>
                  </w:rPr>
                  <m:t>Q</m:t>
                </m:r>
              </m:oMath>
            </m:oMathPara>
          </w:p>
        </w:tc>
        <w:tc>
          <w:tcPr>
            <w:tcW w:w="815" w:type="dxa"/>
            <w:shd w:val="clear" w:color="auto" w:fill="auto"/>
            <w:noWrap/>
            <w:tcMar>
              <w:top w:w="30" w:type="dxa"/>
              <w:left w:w="45" w:type="dxa"/>
              <w:bottom w:w="30" w:type="dxa"/>
              <w:right w:w="45" w:type="dxa"/>
            </w:tcMar>
            <w:vAlign w:val="bottom"/>
          </w:tcPr>
          <w:p>
            <w:pPr>
              <w:spacing w:line="240" w:lineRule="auto"/>
              <w:jc w:val="center"/>
              <w:rPr>
                <w:rFonts w:ascii="Cambria Math" w:hAnsi="Cambria Math"/>
                <w:bCs/>
                <w:sz w:val="19"/>
              </w:rPr>
            </w:pPr>
            <w:r>
              <w:rPr>
                <w:rFonts w:hint="eastAsia" w:ascii="Cambria Math" w:hAnsi="Cambria Math"/>
                <w:bCs/>
                <w:sz w:val="19"/>
              </w:rPr>
              <w:t>71</w:t>
            </w:r>
          </w:p>
        </w:tc>
        <w:tc>
          <w:tcPr>
            <w:tcW w:w="815" w:type="dxa"/>
            <w:shd w:val="clear" w:color="auto" w:fill="auto"/>
            <w:noWrap/>
            <w:tcMar>
              <w:top w:w="30" w:type="dxa"/>
              <w:left w:w="45" w:type="dxa"/>
              <w:bottom w:w="30" w:type="dxa"/>
              <w:right w:w="45" w:type="dxa"/>
            </w:tcMar>
            <w:vAlign w:val="bottom"/>
          </w:tcPr>
          <w:p>
            <w:pPr>
              <w:spacing w:line="240" w:lineRule="auto"/>
              <w:jc w:val="center"/>
              <w:rPr>
                <w:rFonts w:ascii="Cambria Math" w:hAnsi="Cambria Math"/>
                <w:bCs/>
                <w:sz w:val="19"/>
              </w:rPr>
            </w:pPr>
            <w:r>
              <w:rPr>
                <w:rFonts w:hint="eastAsia" w:ascii="Cambria Math" w:hAnsi="Cambria Math"/>
                <w:bCs/>
                <w:sz w:val="19"/>
              </w:rPr>
              <w:t>1</w:t>
            </w:r>
          </w:p>
        </w:tc>
        <w:tc>
          <w:tcPr>
            <w:tcW w:w="815" w:type="dxa"/>
            <w:shd w:val="clear" w:color="auto" w:fill="auto"/>
            <w:noWrap/>
            <w:tcMar>
              <w:top w:w="30" w:type="dxa"/>
              <w:left w:w="45" w:type="dxa"/>
              <w:bottom w:w="30" w:type="dxa"/>
              <w:right w:w="45" w:type="dxa"/>
            </w:tcMar>
            <w:vAlign w:val="bottom"/>
          </w:tcPr>
          <w:p>
            <w:pPr>
              <w:spacing w:line="240" w:lineRule="auto"/>
              <w:jc w:val="center"/>
              <w:rPr>
                <w:rFonts w:ascii="Cambria Math" w:hAnsi="Cambria Math"/>
                <w:bCs/>
                <w:sz w:val="19"/>
              </w:rPr>
            </w:pPr>
            <w:r>
              <w:rPr>
                <w:rFonts w:hint="eastAsia" w:ascii="Cambria Math" w:hAnsi="Cambria Math"/>
                <w:bCs/>
                <w:sz w:val="19"/>
              </w:rPr>
              <w:t>3</w:t>
            </w:r>
          </w:p>
        </w:tc>
        <w:tc>
          <w:tcPr>
            <w:tcW w:w="815" w:type="dxa"/>
            <w:shd w:val="clear" w:color="auto" w:fill="auto"/>
            <w:noWrap/>
            <w:tcMar>
              <w:top w:w="30" w:type="dxa"/>
              <w:left w:w="45" w:type="dxa"/>
              <w:bottom w:w="30" w:type="dxa"/>
              <w:right w:w="45" w:type="dxa"/>
            </w:tcMar>
            <w:vAlign w:val="bottom"/>
          </w:tcPr>
          <w:p>
            <w:pPr>
              <w:spacing w:line="240" w:lineRule="auto"/>
              <w:jc w:val="center"/>
              <w:rPr>
                <w:rFonts w:ascii="Cambria Math" w:hAnsi="Cambria Math"/>
                <w:bCs/>
                <w:sz w:val="19"/>
              </w:rPr>
            </w:pPr>
            <w:r>
              <w:rPr>
                <w:rFonts w:hint="eastAsia" w:ascii="Cambria Math" w:hAnsi="Cambria Math"/>
                <w:bCs/>
                <w:sz w:val="19"/>
              </w:rPr>
              <w:t>0</w:t>
            </w:r>
          </w:p>
        </w:tc>
        <w:tc>
          <w:tcPr>
            <w:tcW w:w="815" w:type="dxa"/>
            <w:shd w:val="clear" w:color="auto" w:fill="auto"/>
            <w:noWrap/>
            <w:tcMar>
              <w:top w:w="30" w:type="dxa"/>
              <w:left w:w="45" w:type="dxa"/>
              <w:bottom w:w="30" w:type="dxa"/>
              <w:right w:w="45" w:type="dxa"/>
            </w:tcMar>
            <w:vAlign w:val="bottom"/>
          </w:tcPr>
          <w:p>
            <w:pPr>
              <w:spacing w:line="240" w:lineRule="auto"/>
              <w:jc w:val="center"/>
              <w:rPr>
                <w:rFonts w:ascii="Cambria Math" w:hAnsi="Cambria Math"/>
                <w:bCs/>
                <w:sz w:val="19"/>
              </w:rPr>
            </w:pPr>
            <w:r>
              <w:rPr>
                <w:rFonts w:hint="eastAsia" w:ascii="Cambria Math" w:hAnsi="Cambria Math"/>
                <w:bCs/>
                <w:sz w:val="19"/>
              </w:rPr>
              <w:t>8</w:t>
            </w:r>
          </w:p>
        </w:tc>
        <w:tc>
          <w:tcPr>
            <w:tcW w:w="815" w:type="dxa"/>
            <w:shd w:val="clear" w:color="auto" w:fill="auto"/>
            <w:noWrap/>
            <w:tcMar>
              <w:top w:w="30" w:type="dxa"/>
              <w:left w:w="45" w:type="dxa"/>
              <w:bottom w:w="30" w:type="dxa"/>
              <w:right w:w="45" w:type="dxa"/>
            </w:tcMar>
            <w:vAlign w:val="bottom"/>
          </w:tcPr>
          <w:p>
            <w:pPr>
              <w:spacing w:line="240" w:lineRule="auto"/>
              <w:jc w:val="center"/>
              <w:rPr>
                <w:rFonts w:ascii="Cambria Math" w:hAnsi="Cambria Math"/>
                <w:bCs/>
                <w:sz w:val="19"/>
              </w:rPr>
            </w:pPr>
            <w:r>
              <w:rPr>
                <w:rFonts w:hint="eastAsia" w:ascii="Cambria Math" w:hAnsi="Cambria Math"/>
                <w:bCs/>
                <w:sz w:val="19"/>
              </w:rPr>
              <w:t>0</w:t>
            </w:r>
          </w:p>
        </w:tc>
        <w:tc>
          <w:tcPr>
            <w:tcW w:w="815" w:type="dxa"/>
            <w:shd w:val="clear" w:color="auto" w:fill="auto"/>
            <w:noWrap/>
            <w:tcMar>
              <w:top w:w="30" w:type="dxa"/>
              <w:left w:w="45" w:type="dxa"/>
              <w:bottom w:w="30" w:type="dxa"/>
              <w:right w:w="45" w:type="dxa"/>
            </w:tcMar>
            <w:vAlign w:val="bottom"/>
          </w:tcPr>
          <w:p>
            <w:pPr>
              <w:spacing w:line="240" w:lineRule="auto"/>
              <w:jc w:val="center"/>
              <w:rPr>
                <w:rFonts w:ascii="Cambria Math" w:hAnsi="Cambria Math"/>
                <w:bCs/>
                <w:sz w:val="19"/>
              </w:rPr>
            </w:pPr>
            <w:r>
              <w:rPr>
                <w:rFonts w:hint="eastAsia" w:ascii="Cambria Math" w:hAnsi="Cambria Math"/>
                <w:bCs/>
                <w:sz w:val="19"/>
              </w:rPr>
              <w:t>62</w:t>
            </w:r>
          </w:p>
        </w:tc>
        <w:tc>
          <w:tcPr>
            <w:tcW w:w="815" w:type="dxa"/>
            <w:shd w:val="clear" w:color="auto" w:fill="auto"/>
            <w:noWrap/>
            <w:tcMar>
              <w:top w:w="30" w:type="dxa"/>
              <w:left w:w="45" w:type="dxa"/>
              <w:bottom w:w="30" w:type="dxa"/>
              <w:right w:w="45" w:type="dxa"/>
            </w:tcMar>
            <w:vAlign w:val="bottom"/>
          </w:tcPr>
          <w:p>
            <w:pPr>
              <w:spacing w:line="240" w:lineRule="auto"/>
              <w:jc w:val="center"/>
              <w:rPr>
                <w:rFonts w:ascii="Cambria Math" w:hAnsi="Cambria Math"/>
                <w:bCs/>
                <w:sz w:val="19"/>
              </w:rPr>
            </w:pPr>
            <w:r>
              <w:rPr>
                <w:rFonts w:hint="eastAsia" w:ascii="Cambria Math" w:hAnsi="Cambria Math"/>
                <w:bCs/>
                <w:sz w:val="19"/>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98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m:oMath>
              <m:r>
                <m:rPr>
                  <m:sty m:val="b"/>
                </m:rPr>
                <w:rPr>
                  <w:rFonts w:ascii="Cambria Math" w:hAnsi="Cambria Math"/>
                  <w:sz w:val="19"/>
                </w:rPr>
                <m:t>e</m:t>
              </m:r>
            </m:oMath>
            <w:r>
              <w:rPr>
                <w:b/>
                <w:sz w:val="19"/>
              </w:rPr>
              <w:t>(kWh/百公里)</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12</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12</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12</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12</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12</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12</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12</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12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98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w:r>
              <w:rPr>
                <w:b/>
                <w:sz w:val="19"/>
              </w:rPr>
              <w:t>L（km）</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20513</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51319</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47450</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27375</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120000</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37376</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26667</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51319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98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w:r>
              <w:rPr>
                <w:b/>
                <w:sz w:val="19"/>
              </w:rPr>
              <w:t>k</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50%</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50%</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50%</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50%</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50%</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50%</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50%</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98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w:r>
              <w:rPr>
                <w:rFonts w:hint="eastAsia"/>
                <w:b/>
                <w:sz w:val="19"/>
              </w:rPr>
              <w:t>E（</w:t>
            </w:r>
            <w:r>
              <w:rPr>
                <w:b/>
                <w:sz w:val="19"/>
              </w:rPr>
              <w:t>万kWh）</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229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4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29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0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113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0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49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4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98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w:r>
              <w:rPr>
                <w:b/>
                <w:sz w:val="19"/>
              </w:rPr>
              <w:t>ni(%)</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26</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100</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100</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100</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94</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94</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26</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100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98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w:r>
              <w:rPr>
                <w:b/>
                <w:sz w:val="19"/>
              </w:rPr>
              <w:t>t公共(h)</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0.23</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0.83</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0.83</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0.83</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0.83</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0.83</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0.23</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0.83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98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w:r>
              <w:rPr>
                <w:b/>
                <w:sz w:val="19"/>
              </w:rPr>
              <w:t>P公共(kW)</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7095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130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966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0</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3500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0</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1525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130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98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m:oMathPara>
              <m:oMath>
                <m:sSub>
                  <m:sSubPr>
                    <m:ctrlPr>
                      <w:rPr>
                        <w:rFonts w:ascii="Cambria Math" w:hAnsi="Cambria Math"/>
                        <w:b/>
                        <w:sz w:val="19"/>
                      </w:rPr>
                    </m:ctrlPr>
                  </m:sSubPr>
                  <m:e>
                    <m:r>
                      <m:rPr>
                        <m:sty m:val="b"/>
                      </m:rPr>
                      <w:rPr>
                        <w:rFonts w:ascii="Cambria Math" w:hAnsi="Cambria Math"/>
                        <w:sz w:val="19"/>
                      </w:rPr>
                      <m:t>P</m:t>
                    </m:r>
                    <m:ctrlPr>
                      <w:rPr>
                        <w:rFonts w:ascii="Cambria Math" w:hAnsi="Cambria Math"/>
                        <w:b/>
                        <w:sz w:val="19"/>
                      </w:rPr>
                    </m:ctrlPr>
                  </m:e>
                  <m:sub>
                    <m:r>
                      <m:rPr>
                        <m:sty m:val="b"/>
                      </m:rPr>
                      <w:rPr>
                        <w:rFonts w:ascii="Cambria Math" w:hAnsi="Cambria Math"/>
                        <w:sz w:val="19"/>
                      </w:rPr>
                      <m:t>标准桩</m:t>
                    </m:r>
                    <m:ctrlPr>
                      <w:rPr>
                        <w:rFonts w:ascii="Cambria Math" w:hAnsi="Cambria Math"/>
                        <w:b/>
                        <w:sz w:val="19"/>
                      </w:rPr>
                    </m:ctrlPr>
                  </m:sub>
                </m:sSub>
              </m:oMath>
            </m:oMathPara>
          </w:p>
        </w:tc>
        <w:tc>
          <w:tcPr>
            <w:tcW w:w="6520" w:type="dxa"/>
            <w:gridSpan w:val="8"/>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6</w:t>
            </w:r>
            <w:r>
              <w:rPr>
                <w:rFonts w:ascii="Cambria Math" w:hAnsi="Cambria Math"/>
                <w:bCs/>
                <w:sz w:val="19"/>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98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m:oMathPara>
              <m:oMath>
                <m:sSub>
                  <m:sSubPr>
                    <m:ctrlPr>
                      <w:rPr>
                        <w:rFonts w:ascii="Cambria Math" w:hAnsi="Cambria Math"/>
                        <w:b/>
                        <w:sz w:val="19"/>
                      </w:rPr>
                    </m:ctrlPr>
                  </m:sSubPr>
                  <m:e>
                    <m:r>
                      <m:rPr>
                        <m:sty m:val="b"/>
                      </m:rPr>
                      <w:rPr>
                        <w:rFonts w:ascii="Cambria Math" w:hAnsi="Cambria Math"/>
                        <w:sz w:val="19"/>
                      </w:rPr>
                      <m:t>N</m:t>
                    </m:r>
                    <m:ctrlPr>
                      <w:rPr>
                        <w:rFonts w:ascii="Cambria Math" w:hAnsi="Cambria Math"/>
                        <w:b/>
                        <w:sz w:val="19"/>
                      </w:rPr>
                    </m:ctrlPr>
                  </m:e>
                  <m:sub>
                    <m:r>
                      <m:rPr>
                        <m:sty m:val="b"/>
                      </m:rPr>
                      <w:rPr>
                        <w:rFonts w:ascii="Cambria Math" w:hAnsi="Cambria Math"/>
                        <w:sz w:val="19"/>
                      </w:rPr>
                      <m:t>公共</m:t>
                    </m:r>
                    <m:ctrlPr>
                      <w:rPr>
                        <w:rFonts w:ascii="Cambria Math" w:hAnsi="Cambria Math"/>
                        <w:b/>
                        <w:sz w:val="19"/>
                      </w:rPr>
                    </m:ctrlPr>
                  </m:sub>
                </m:sSub>
              </m:oMath>
            </m:oMathPara>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118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2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16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0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58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0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25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2 </w:t>
            </w:r>
          </w:p>
        </w:tc>
      </w:tr>
    </w:tbl>
    <w:p>
      <w:pPr>
        <w:spacing w:line="360" w:lineRule="auto"/>
        <w:ind w:firstLine="561"/>
        <w:rPr>
          <w:rFonts w:hint="eastAsia"/>
        </w:rPr>
      </w:pPr>
    </w:p>
    <w:p>
      <w:pPr>
        <w:spacing w:line="360" w:lineRule="auto"/>
        <w:ind w:firstLine="561"/>
        <w:rPr>
          <w:rFonts w:hint="eastAsia"/>
        </w:rPr>
      </w:pPr>
      <w:r>
        <w:t>百公里平均耗电量</w:t>
      </w:r>
      <w:r>
        <w:rPr>
          <w:rFonts w:hint="eastAsia"/>
        </w:rPr>
        <w:t>依据</w:t>
      </w:r>
      <w:r>
        <w:t>《新能源汽车产业发展规划（2021～2035年）》</w:t>
      </w:r>
      <w:r>
        <w:rPr>
          <w:rFonts w:hint="eastAsia"/>
        </w:rPr>
        <w:t>确定为1</w:t>
      </w:r>
      <w:r>
        <w:t>2</w:t>
      </w:r>
      <w:r>
        <w:rPr>
          <w:rFonts w:hint="eastAsia"/>
        </w:rPr>
        <w:t>k</w:t>
      </w:r>
      <w:r>
        <w:t>W</w:t>
      </w:r>
      <w:r>
        <w:rPr>
          <w:rFonts w:hint="eastAsia"/>
        </w:rPr>
        <w:t>h/百公里，结合《中国·纯电·新能源汽车》系列报告、《2</w:t>
      </w:r>
      <w:r>
        <w:t>022</w:t>
      </w:r>
      <w:r>
        <w:rPr>
          <w:rFonts w:hint="eastAsia"/>
        </w:rPr>
        <w:t>年联盟里程数年报》等数据，确定各类汽车年行驶里程数、</w:t>
      </w:r>
      <w:r>
        <w:t>公共领域充电量占年均充电总量比例</w:t>
      </w:r>
      <w:r>
        <w:rPr>
          <w:rFonts w:hint="eastAsia"/>
        </w:rPr>
        <w:t>、公用充电设施日利用小时数等指标，计算得出</w:t>
      </w:r>
      <w:r>
        <w:t>公共充电设施的充电总功率</w:t>
      </w:r>
      <w:r>
        <w:rPr>
          <w:rFonts w:hint="eastAsia"/>
        </w:rPr>
        <w:t>。</w:t>
      </w:r>
    </w:p>
    <w:p>
      <w:pPr>
        <w:spacing w:line="360" w:lineRule="auto"/>
        <w:ind w:firstLine="561"/>
        <w:rPr>
          <w:rFonts w:hint="eastAsia"/>
        </w:rPr>
      </w:pPr>
      <w:r>
        <w:rPr>
          <w:rFonts w:hint="eastAsia"/>
        </w:rPr>
        <w:t>预计至2</w:t>
      </w:r>
      <w:r>
        <w:t>028</w:t>
      </w:r>
      <w:r>
        <w:rPr>
          <w:rFonts w:hint="eastAsia"/>
        </w:rPr>
        <w:t>年，</w:t>
      </w:r>
      <w:r>
        <w:t>公共充电设施的充电总功率</w:t>
      </w:r>
      <w:r>
        <w:rPr>
          <w:rFonts w:hint="eastAsia"/>
        </w:rPr>
        <w:t>为</w:t>
      </w:r>
      <w:r>
        <w:t>13346kW</w:t>
      </w:r>
      <w:r>
        <w:rPr>
          <w:rFonts w:hint="eastAsia"/>
        </w:rPr>
        <w:t>，</w:t>
      </w:r>
      <w:r>
        <w:t>按照</w:t>
      </w:r>
      <w:r>
        <w:rPr>
          <w:rFonts w:hint="eastAsia"/>
        </w:rPr>
        <w:t>标准桩充电功率为6</w:t>
      </w:r>
      <w:r>
        <w:t>0</w:t>
      </w:r>
      <w:r>
        <w:rPr>
          <w:rFonts w:hint="eastAsia"/>
        </w:rPr>
        <w:t>kW计算，共需充电桩</w:t>
      </w:r>
      <w:r>
        <w:t>222</w:t>
      </w:r>
      <w:r>
        <w:rPr>
          <w:rFonts w:hint="eastAsia"/>
        </w:rPr>
        <w:t>台（取整）。</w:t>
      </w:r>
    </w:p>
    <w:p>
      <w:pPr>
        <w:pStyle w:val="4"/>
      </w:pPr>
      <w:r>
        <w:rPr>
          <w:rFonts w:hint="eastAsia"/>
        </w:rPr>
        <w:t>需求预测结果</w:t>
      </w:r>
    </w:p>
    <w:p>
      <w:pPr>
        <w:spacing w:line="360" w:lineRule="auto"/>
        <w:ind w:firstLine="561"/>
        <w:rPr>
          <w:rFonts w:hint="eastAsia"/>
        </w:rPr>
      </w:pPr>
      <w:r>
        <w:rPr>
          <w:rFonts w:hint="eastAsia"/>
        </w:rPr>
        <w:t>取两种计算方法中间值，预测至2</w:t>
      </w:r>
      <w:r>
        <w:t>028</w:t>
      </w:r>
      <w:r>
        <w:rPr>
          <w:rFonts w:hint="eastAsia"/>
        </w:rPr>
        <w:t>年，需满足</w:t>
      </w:r>
      <w:r>
        <w:t>11343kW</w:t>
      </w:r>
      <w:r>
        <w:rPr>
          <w:rFonts w:hint="eastAsia"/>
        </w:rPr>
        <w:t>充电功率需求，现状充电桩共计2154k</w:t>
      </w:r>
      <w:r>
        <w:t>W</w:t>
      </w:r>
      <w:r>
        <w:rPr>
          <w:rFonts w:hint="eastAsia"/>
        </w:rPr>
        <w:t>，</w:t>
      </w:r>
      <w:r>
        <w:t>按照</w:t>
      </w:r>
      <w:r>
        <w:rPr>
          <w:rFonts w:hint="eastAsia"/>
        </w:rPr>
        <w:t>标准桩充电功率为6</w:t>
      </w:r>
      <w:r>
        <w:t>0</w:t>
      </w:r>
      <w:r>
        <w:rPr>
          <w:rFonts w:hint="eastAsia"/>
        </w:rPr>
        <w:t>kW计算，共需新增充电桩</w:t>
      </w:r>
      <w:r>
        <w:t>154</w:t>
      </w:r>
      <w:r>
        <w:rPr>
          <w:rFonts w:hint="eastAsia"/>
        </w:rPr>
        <w:t>台（取整）。</w:t>
      </w:r>
    </w:p>
    <w:p>
      <w:pPr>
        <w:pStyle w:val="3"/>
        <w:rPr>
          <w:color w:val="000000" w:themeColor="text1"/>
          <w:szCs w:val="22"/>
          <w14:textFill>
            <w14:solidFill>
              <w14:schemeClr w14:val="tx1"/>
            </w14:solidFill>
          </w14:textFill>
        </w:rPr>
      </w:pPr>
      <w:r>
        <w:rPr>
          <w:rFonts w:hint="eastAsia"/>
          <w:color w:val="000000" w:themeColor="text1"/>
          <w:szCs w:val="22"/>
          <w14:textFill>
            <w14:solidFill>
              <w14:schemeClr w14:val="tx1"/>
            </w14:solidFill>
          </w14:textFill>
        </w:rPr>
        <w:t>需求预测结果</w:t>
      </w:r>
    </w:p>
    <w:p>
      <w:pPr>
        <w:ind w:firstLine="560" w:firstLineChars="200"/>
        <w:rPr>
          <w:rFonts w:hint="eastAsia"/>
        </w:rPr>
      </w:pPr>
      <w:r>
        <w:rPr>
          <w:rFonts w:hint="eastAsia"/>
        </w:rPr>
        <w:t>根据各块区的经济、人口、路网密度等因素，对各块区的充电设施需求进行逐年预测，结果如下表所示。</w:t>
      </w: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1386"/>
        <w:gridCol w:w="2116"/>
        <w:gridCol w:w="771"/>
        <w:gridCol w:w="818"/>
        <w:gridCol w:w="818"/>
        <w:gridCol w:w="818"/>
        <w:gridCol w:w="819"/>
        <w:gridCol w:w="81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663" w:type="pct"/>
            <w:shd w:val="clear" w:color="auto" w:fill="D9D9D9"/>
            <w:noWrap/>
            <w:vAlign w:val="center"/>
          </w:tcPr>
          <w:p>
            <w:pPr>
              <w:jc w:val="center"/>
              <w:rPr>
                <w:rFonts w:hint="eastAsia"/>
                <w:b/>
                <w:sz w:val="19"/>
              </w:rPr>
            </w:pPr>
            <w:r>
              <w:rPr>
                <w:rFonts w:hint="eastAsia"/>
                <w:b/>
                <w:sz w:val="19"/>
              </w:rPr>
              <w:t>充电块区</w:t>
            </w:r>
          </w:p>
        </w:tc>
        <w:tc>
          <w:tcPr>
            <w:tcW w:w="1289" w:type="pct"/>
            <w:shd w:val="clear" w:color="auto" w:fill="D9D9D9"/>
            <w:noWrap/>
            <w:vAlign w:val="center"/>
          </w:tcPr>
          <w:p>
            <w:pPr>
              <w:jc w:val="center"/>
              <w:rPr>
                <w:rFonts w:hint="eastAsia"/>
                <w:b/>
                <w:sz w:val="19"/>
              </w:rPr>
            </w:pPr>
            <w:r>
              <w:rPr>
                <w:rFonts w:hint="eastAsia"/>
                <w:b/>
                <w:sz w:val="19"/>
              </w:rPr>
              <w:t>充电设施规模</w:t>
            </w:r>
          </w:p>
        </w:tc>
        <w:tc>
          <w:tcPr>
            <w:tcW w:w="485" w:type="pct"/>
            <w:shd w:val="clear" w:color="auto" w:fill="D9D9D9"/>
            <w:noWrap/>
            <w:vAlign w:val="center"/>
          </w:tcPr>
          <w:p>
            <w:pPr>
              <w:jc w:val="center"/>
              <w:rPr>
                <w:rFonts w:hint="eastAsia"/>
                <w:b/>
                <w:sz w:val="19"/>
              </w:rPr>
            </w:pPr>
            <w:r>
              <w:rPr>
                <w:rFonts w:hint="eastAsia"/>
                <w:b/>
                <w:sz w:val="19"/>
              </w:rPr>
              <w:t>2024</w:t>
            </w:r>
          </w:p>
        </w:tc>
        <w:tc>
          <w:tcPr>
            <w:tcW w:w="513" w:type="pct"/>
            <w:shd w:val="clear" w:color="auto" w:fill="D9D9D9"/>
            <w:noWrap/>
            <w:vAlign w:val="center"/>
          </w:tcPr>
          <w:p>
            <w:pPr>
              <w:jc w:val="center"/>
              <w:rPr>
                <w:rFonts w:hint="eastAsia"/>
                <w:b/>
                <w:sz w:val="19"/>
              </w:rPr>
            </w:pPr>
            <w:r>
              <w:rPr>
                <w:rFonts w:hint="eastAsia"/>
                <w:b/>
                <w:sz w:val="19"/>
              </w:rPr>
              <w:t>2025</w:t>
            </w:r>
          </w:p>
        </w:tc>
        <w:tc>
          <w:tcPr>
            <w:tcW w:w="513" w:type="pct"/>
            <w:shd w:val="clear" w:color="auto" w:fill="D9D9D9"/>
            <w:noWrap/>
            <w:vAlign w:val="center"/>
          </w:tcPr>
          <w:p>
            <w:pPr>
              <w:jc w:val="center"/>
              <w:rPr>
                <w:rFonts w:hint="eastAsia"/>
                <w:b/>
                <w:sz w:val="19"/>
              </w:rPr>
            </w:pPr>
            <w:r>
              <w:rPr>
                <w:rFonts w:hint="eastAsia"/>
                <w:b/>
                <w:sz w:val="19"/>
              </w:rPr>
              <w:t>2026</w:t>
            </w:r>
          </w:p>
        </w:tc>
        <w:tc>
          <w:tcPr>
            <w:tcW w:w="513" w:type="pct"/>
            <w:shd w:val="clear" w:color="auto" w:fill="D9D9D9"/>
            <w:noWrap/>
            <w:vAlign w:val="center"/>
          </w:tcPr>
          <w:p>
            <w:pPr>
              <w:jc w:val="center"/>
              <w:rPr>
                <w:rFonts w:hint="eastAsia"/>
                <w:b/>
                <w:sz w:val="19"/>
              </w:rPr>
            </w:pPr>
            <w:r>
              <w:rPr>
                <w:rFonts w:hint="eastAsia"/>
                <w:b/>
                <w:sz w:val="19"/>
              </w:rPr>
              <w:t>2027</w:t>
            </w:r>
          </w:p>
        </w:tc>
        <w:tc>
          <w:tcPr>
            <w:tcW w:w="513" w:type="pct"/>
            <w:shd w:val="clear" w:color="auto" w:fill="D9D9D9"/>
            <w:noWrap/>
            <w:vAlign w:val="center"/>
          </w:tcPr>
          <w:p>
            <w:pPr>
              <w:jc w:val="center"/>
              <w:rPr>
                <w:rFonts w:hint="eastAsia"/>
                <w:b/>
                <w:sz w:val="19"/>
              </w:rPr>
            </w:pPr>
            <w:r>
              <w:rPr>
                <w:rFonts w:hint="eastAsia"/>
                <w:b/>
                <w:sz w:val="19"/>
              </w:rPr>
              <w:t>2028</w:t>
            </w:r>
          </w:p>
        </w:tc>
        <w:tc>
          <w:tcPr>
            <w:tcW w:w="511" w:type="pct"/>
            <w:shd w:val="clear" w:color="auto" w:fill="D9D9D9"/>
            <w:noWrap/>
            <w:vAlign w:val="center"/>
          </w:tcPr>
          <w:p>
            <w:pPr>
              <w:jc w:val="center"/>
              <w:rPr>
                <w:rFonts w:hint="eastAsia"/>
                <w:b/>
                <w:sz w:val="19"/>
              </w:rPr>
            </w:pPr>
            <w:r>
              <w:rPr>
                <w:rFonts w:hint="eastAsia"/>
                <w:b/>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restart"/>
            <w:shd w:val="clear" w:color="auto" w:fill="auto"/>
            <w:noWrap/>
            <w:vAlign w:val="center"/>
          </w:tcPr>
          <w:p>
            <w:pPr>
              <w:jc w:val="center"/>
              <w:rPr>
                <w:rFonts w:hint="eastAsia"/>
                <w:sz w:val="19"/>
              </w:rPr>
            </w:pPr>
            <w:r>
              <w:rPr>
                <w:rFonts w:hint="eastAsia"/>
                <w:sz w:val="19"/>
              </w:rPr>
              <w:t>八卦城块区</w:t>
            </w:r>
          </w:p>
        </w:tc>
        <w:tc>
          <w:tcPr>
            <w:tcW w:w="1289" w:type="pct"/>
            <w:shd w:val="clear" w:color="auto" w:fill="auto"/>
            <w:noWrap/>
            <w:vAlign w:val="center"/>
          </w:tcPr>
          <w:p>
            <w:pPr>
              <w:jc w:val="center"/>
              <w:rPr>
                <w:rFonts w:hint="eastAsia"/>
                <w:sz w:val="19"/>
              </w:rPr>
            </w:pPr>
            <w:r>
              <w:rPr>
                <w:rFonts w:hint="eastAsia"/>
                <w:sz w:val="19"/>
              </w:rPr>
              <w:t>60kW充电桩数量（台）</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6</w:t>
            </w:r>
          </w:p>
        </w:tc>
        <w:tc>
          <w:tcPr>
            <w:tcW w:w="513" w:type="pct"/>
            <w:shd w:val="clear" w:color="auto" w:fill="auto"/>
            <w:noWrap/>
            <w:vAlign w:val="center"/>
          </w:tcPr>
          <w:p>
            <w:pPr>
              <w:jc w:val="center"/>
              <w:rPr>
                <w:rFonts w:hint="eastAsia"/>
                <w:sz w:val="19"/>
              </w:rPr>
            </w:pPr>
            <w:r>
              <w:rPr>
                <w:rFonts w:hint="eastAsia"/>
                <w:sz w:val="19"/>
              </w:rPr>
              <w:t>12</w:t>
            </w:r>
          </w:p>
        </w:tc>
        <w:tc>
          <w:tcPr>
            <w:tcW w:w="511" w:type="pct"/>
            <w:shd w:val="clear" w:color="auto" w:fill="auto"/>
            <w:noWrap/>
            <w:vAlign w:val="center"/>
          </w:tcPr>
          <w:p>
            <w:pPr>
              <w:jc w:val="center"/>
              <w:rPr>
                <w:rFonts w:hint="eastAsia"/>
                <w:sz w:val="19"/>
              </w:rPr>
            </w:pPr>
            <w:r>
              <w:rPr>
                <w:rFonts w:hint="eastAsia"/>
                <w:sz w:val="19"/>
              </w:rPr>
              <w:t>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continue"/>
            <w:vAlign w:val="center"/>
          </w:tcPr>
          <w:p>
            <w:pPr>
              <w:jc w:val="center"/>
              <w:rPr>
                <w:rFonts w:hint="eastAsia"/>
                <w:sz w:val="19"/>
              </w:rPr>
            </w:pPr>
          </w:p>
        </w:tc>
        <w:tc>
          <w:tcPr>
            <w:tcW w:w="1289" w:type="pct"/>
            <w:shd w:val="clear" w:color="auto" w:fill="auto"/>
            <w:noWrap/>
            <w:vAlign w:val="center"/>
          </w:tcPr>
          <w:p>
            <w:pPr>
              <w:jc w:val="center"/>
              <w:rPr>
                <w:rFonts w:hint="eastAsia"/>
                <w:sz w:val="19"/>
              </w:rPr>
            </w:pPr>
            <w:r>
              <w:rPr>
                <w:rFonts w:hint="eastAsia"/>
                <w:sz w:val="19"/>
              </w:rPr>
              <w:t>7kW充电桩数量（台）</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1" w:type="pct"/>
            <w:shd w:val="clear" w:color="auto" w:fill="auto"/>
            <w:noWrap/>
            <w:vAlign w:val="center"/>
          </w:tcPr>
          <w:p>
            <w:pPr>
              <w:jc w:val="center"/>
              <w:rPr>
                <w:rFonts w:hint="eastAsia"/>
                <w:sz w:val="19"/>
              </w:rPr>
            </w:pPr>
            <w:r>
              <w:rPr>
                <w:rFonts w:hint="eastAsia"/>
                <w:sz w:val="19"/>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continue"/>
            <w:vAlign w:val="center"/>
          </w:tcPr>
          <w:p>
            <w:pPr>
              <w:jc w:val="center"/>
              <w:rPr>
                <w:rFonts w:hint="eastAsia"/>
                <w:sz w:val="19"/>
              </w:rPr>
            </w:pPr>
          </w:p>
        </w:tc>
        <w:tc>
          <w:tcPr>
            <w:tcW w:w="1289" w:type="pct"/>
            <w:shd w:val="clear" w:color="auto" w:fill="auto"/>
            <w:noWrap/>
            <w:vAlign w:val="center"/>
          </w:tcPr>
          <w:p>
            <w:pPr>
              <w:jc w:val="center"/>
              <w:rPr>
                <w:rFonts w:hint="eastAsia"/>
                <w:sz w:val="19"/>
              </w:rPr>
            </w:pPr>
            <w:r>
              <w:rPr>
                <w:rFonts w:hint="eastAsia"/>
                <w:sz w:val="19"/>
              </w:rPr>
              <w:t>充电总功率（kW）</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360</w:t>
            </w:r>
          </w:p>
        </w:tc>
        <w:tc>
          <w:tcPr>
            <w:tcW w:w="513" w:type="pct"/>
            <w:shd w:val="clear" w:color="auto" w:fill="auto"/>
            <w:noWrap/>
            <w:vAlign w:val="center"/>
          </w:tcPr>
          <w:p>
            <w:pPr>
              <w:jc w:val="center"/>
              <w:rPr>
                <w:rFonts w:hint="eastAsia"/>
                <w:sz w:val="19"/>
              </w:rPr>
            </w:pPr>
            <w:r>
              <w:rPr>
                <w:rFonts w:hint="eastAsia"/>
                <w:sz w:val="19"/>
              </w:rPr>
              <w:t>720</w:t>
            </w:r>
          </w:p>
        </w:tc>
        <w:tc>
          <w:tcPr>
            <w:tcW w:w="511" w:type="pct"/>
            <w:shd w:val="clear" w:color="auto" w:fill="auto"/>
            <w:noWrap/>
            <w:vAlign w:val="center"/>
          </w:tcPr>
          <w:p>
            <w:pPr>
              <w:jc w:val="center"/>
              <w:rPr>
                <w:rFonts w:hint="eastAsia"/>
                <w:sz w:val="19"/>
              </w:rPr>
            </w:pPr>
            <w:r>
              <w:rPr>
                <w:rFonts w:hint="eastAsia"/>
                <w:sz w:val="19"/>
              </w:rPr>
              <w:t>360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restart"/>
            <w:shd w:val="clear" w:color="auto" w:fill="auto"/>
            <w:noWrap/>
            <w:vAlign w:val="center"/>
          </w:tcPr>
          <w:p>
            <w:pPr>
              <w:jc w:val="center"/>
              <w:rPr>
                <w:rFonts w:hint="eastAsia"/>
                <w:sz w:val="19"/>
              </w:rPr>
            </w:pPr>
            <w:r>
              <w:rPr>
                <w:rFonts w:hint="eastAsia"/>
                <w:sz w:val="19"/>
              </w:rPr>
              <w:t>桓仁镇块区</w:t>
            </w:r>
          </w:p>
        </w:tc>
        <w:tc>
          <w:tcPr>
            <w:tcW w:w="1289" w:type="pct"/>
            <w:shd w:val="clear" w:color="auto" w:fill="auto"/>
            <w:noWrap/>
            <w:vAlign w:val="center"/>
          </w:tcPr>
          <w:p>
            <w:pPr>
              <w:jc w:val="center"/>
              <w:rPr>
                <w:rFonts w:hint="eastAsia"/>
                <w:sz w:val="19"/>
              </w:rPr>
            </w:pPr>
            <w:r>
              <w:rPr>
                <w:rFonts w:hint="eastAsia"/>
                <w:sz w:val="19"/>
              </w:rPr>
              <w:t>60kW充电桩数量（台）</w:t>
            </w:r>
          </w:p>
        </w:tc>
        <w:tc>
          <w:tcPr>
            <w:tcW w:w="485" w:type="pct"/>
            <w:shd w:val="clear" w:color="auto" w:fill="auto"/>
            <w:noWrap/>
            <w:vAlign w:val="center"/>
          </w:tcPr>
          <w:p>
            <w:pPr>
              <w:jc w:val="center"/>
              <w:rPr>
                <w:rFonts w:hint="eastAsia"/>
                <w:sz w:val="19"/>
              </w:rPr>
            </w:pPr>
            <w:r>
              <w:rPr>
                <w:rFonts w:hint="eastAsia"/>
                <w:sz w:val="19"/>
              </w:rPr>
              <w:t>18</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3</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5</w:t>
            </w:r>
          </w:p>
        </w:tc>
        <w:tc>
          <w:tcPr>
            <w:tcW w:w="511" w:type="pct"/>
            <w:shd w:val="clear" w:color="auto" w:fill="auto"/>
            <w:noWrap/>
            <w:vAlign w:val="center"/>
          </w:tcPr>
          <w:p>
            <w:pPr>
              <w:jc w:val="center"/>
              <w:rPr>
                <w:rFonts w:hint="eastAsia"/>
                <w:sz w:val="19"/>
              </w:rPr>
            </w:pPr>
            <w:r>
              <w:rPr>
                <w:rFonts w:hint="eastAsia"/>
                <w:sz w:val="19"/>
              </w:rPr>
              <w:t>60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continue"/>
            <w:vAlign w:val="center"/>
          </w:tcPr>
          <w:p>
            <w:pPr>
              <w:jc w:val="center"/>
              <w:rPr>
                <w:rFonts w:hint="eastAsia"/>
                <w:sz w:val="19"/>
              </w:rPr>
            </w:pPr>
          </w:p>
        </w:tc>
        <w:tc>
          <w:tcPr>
            <w:tcW w:w="1289" w:type="pct"/>
            <w:shd w:val="clear" w:color="auto" w:fill="auto"/>
            <w:noWrap/>
            <w:vAlign w:val="center"/>
          </w:tcPr>
          <w:p>
            <w:pPr>
              <w:jc w:val="center"/>
              <w:rPr>
                <w:rFonts w:hint="eastAsia"/>
                <w:sz w:val="19"/>
              </w:rPr>
            </w:pPr>
            <w:r>
              <w:rPr>
                <w:rFonts w:hint="eastAsia"/>
                <w:sz w:val="19"/>
              </w:rPr>
              <w:t>7kW充电桩数量（台）</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1" w:type="pct"/>
            <w:shd w:val="clear" w:color="auto" w:fill="auto"/>
            <w:noWrap/>
            <w:vAlign w:val="center"/>
          </w:tcPr>
          <w:p>
            <w:pPr>
              <w:jc w:val="center"/>
              <w:rPr>
                <w:rFonts w:hint="eastAsia"/>
                <w:sz w:val="19"/>
              </w:rPr>
            </w:pPr>
            <w:r>
              <w:rPr>
                <w:rFonts w:hint="eastAsia"/>
                <w:sz w:val="19"/>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continue"/>
            <w:vAlign w:val="center"/>
          </w:tcPr>
          <w:p>
            <w:pPr>
              <w:jc w:val="center"/>
              <w:rPr>
                <w:rFonts w:hint="eastAsia"/>
                <w:sz w:val="19"/>
              </w:rPr>
            </w:pPr>
          </w:p>
        </w:tc>
        <w:tc>
          <w:tcPr>
            <w:tcW w:w="1289" w:type="pct"/>
            <w:shd w:val="clear" w:color="auto" w:fill="auto"/>
            <w:noWrap/>
            <w:vAlign w:val="center"/>
          </w:tcPr>
          <w:p>
            <w:pPr>
              <w:jc w:val="center"/>
              <w:rPr>
                <w:rFonts w:hint="eastAsia"/>
                <w:sz w:val="19"/>
              </w:rPr>
            </w:pPr>
            <w:r>
              <w:rPr>
                <w:rFonts w:hint="eastAsia"/>
                <w:sz w:val="19"/>
              </w:rPr>
              <w:t>充电总功率（kW）</w:t>
            </w:r>
          </w:p>
        </w:tc>
        <w:tc>
          <w:tcPr>
            <w:tcW w:w="485" w:type="pct"/>
            <w:shd w:val="clear" w:color="auto" w:fill="auto"/>
            <w:noWrap/>
            <w:vAlign w:val="center"/>
          </w:tcPr>
          <w:p>
            <w:pPr>
              <w:jc w:val="center"/>
              <w:rPr>
                <w:rFonts w:hint="eastAsia"/>
                <w:sz w:val="19"/>
              </w:rPr>
            </w:pPr>
            <w:r>
              <w:rPr>
                <w:rFonts w:hint="eastAsia"/>
                <w:sz w:val="19"/>
              </w:rPr>
              <w:t>1080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180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300</w:t>
            </w:r>
          </w:p>
        </w:tc>
        <w:tc>
          <w:tcPr>
            <w:tcW w:w="511" w:type="pct"/>
            <w:shd w:val="clear" w:color="auto" w:fill="auto"/>
            <w:noWrap/>
            <w:vAlign w:val="center"/>
          </w:tcPr>
          <w:p>
            <w:pPr>
              <w:jc w:val="center"/>
              <w:rPr>
                <w:rFonts w:hint="eastAsia"/>
                <w:sz w:val="19"/>
              </w:rPr>
            </w:pPr>
            <w:r>
              <w:rPr>
                <w:rFonts w:hint="eastAsia"/>
                <w:sz w:val="19"/>
              </w:rPr>
              <w:t>3600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restart"/>
            <w:shd w:val="clear" w:color="auto" w:fill="auto"/>
            <w:noWrap/>
            <w:vAlign w:val="center"/>
          </w:tcPr>
          <w:p>
            <w:pPr>
              <w:jc w:val="center"/>
              <w:rPr>
                <w:rFonts w:hint="eastAsia"/>
                <w:sz w:val="19"/>
              </w:rPr>
            </w:pPr>
            <w:r>
              <w:rPr>
                <w:rFonts w:hint="eastAsia"/>
                <w:sz w:val="19"/>
              </w:rPr>
              <w:t>普乐堡块区</w:t>
            </w:r>
          </w:p>
        </w:tc>
        <w:tc>
          <w:tcPr>
            <w:tcW w:w="1289" w:type="pct"/>
            <w:shd w:val="clear" w:color="auto" w:fill="auto"/>
            <w:noWrap/>
            <w:vAlign w:val="center"/>
          </w:tcPr>
          <w:p>
            <w:pPr>
              <w:jc w:val="center"/>
              <w:rPr>
                <w:rFonts w:hint="eastAsia"/>
                <w:sz w:val="19"/>
              </w:rPr>
            </w:pPr>
            <w:r>
              <w:rPr>
                <w:rFonts w:hint="eastAsia"/>
                <w:sz w:val="19"/>
              </w:rPr>
              <w:t>60kW充电桩数量（台）</w:t>
            </w:r>
          </w:p>
        </w:tc>
        <w:tc>
          <w:tcPr>
            <w:tcW w:w="485" w:type="pct"/>
            <w:shd w:val="clear" w:color="auto" w:fill="auto"/>
            <w:noWrap/>
            <w:vAlign w:val="center"/>
          </w:tcPr>
          <w:p>
            <w:pPr>
              <w:jc w:val="center"/>
              <w:rPr>
                <w:rFonts w:hint="eastAsia"/>
                <w:sz w:val="19"/>
              </w:rPr>
            </w:pPr>
            <w:r>
              <w:rPr>
                <w:rFonts w:hint="eastAsia"/>
                <w:sz w:val="19"/>
              </w:rPr>
              <w:t>15</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6</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1" w:type="pct"/>
            <w:shd w:val="clear" w:color="auto" w:fill="auto"/>
            <w:noWrap/>
            <w:vAlign w:val="center"/>
          </w:tcPr>
          <w:p>
            <w:pPr>
              <w:jc w:val="center"/>
              <w:rPr>
                <w:rFonts w:hint="eastAsia"/>
                <w:sz w:val="19"/>
              </w:rPr>
            </w:pPr>
            <w:r>
              <w:rPr>
                <w:rFonts w:hint="eastAsia"/>
                <w:sz w:val="19"/>
              </w:rPr>
              <w:t>33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continue"/>
            <w:vAlign w:val="center"/>
          </w:tcPr>
          <w:p>
            <w:pPr>
              <w:jc w:val="center"/>
              <w:rPr>
                <w:rFonts w:hint="eastAsia"/>
                <w:sz w:val="19"/>
              </w:rPr>
            </w:pPr>
          </w:p>
        </w:tc>
        <w:tc>
          <w:tcPr>
            <w:tcW w:w="1289" w:type="pct"/>
            <w:shd w:val="clear" w:color="auto" w:fill="auto"/>
            <w:noWrap/>
            <w:vAlign w:val="center"/>
          </w:tcPr>
          <w:p>
            <w:pPr>
              <w:jc w:val="center"/>
              <w:rPr>
                <w:rFonts w:hint="eastAsia"/>
                <w:sz w:val="19"/>
              </w:rPr>
            </w:pPr>
            <w:r>
              <w:rPr>
                <w:rFonts w:hint="eastAsia"/>
                <w:sz w:val="19"/>
              </w:rPr>
              <w:t>7kW充电桩数量（台）</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1" w:type="pct"/>
            <w:shd w:val="clear" w:color="auto" w:fill="auto"/>
            <w:noWrap/>
            <w:vAlign w:val="center"/>
          </w:tcPr>
          <w:p>
            <w:pPr>
              <w:jc w:val="center"/>
              <w:rPr>
                <w:rFonts w:hint="eastAsia"/>
                <w:sz w:val="19"/>
              </w:rPr>
            </w:pPr>
            <w:r>
              <w:rPr>
                <w:rFonts w:hint="eastAsia"/>
                <w:sz w:val="19"/>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continue"/>
            <w:vAlign w:val="center"/>
          </w:tcPr>
          <w:p>
            <w:pPr>
              <w:jc w:val="center"/>
              <w:rPr>
                <w:rFonts w:hint="eastAsia"/>
                <w:sz w:val="19"/>
              </w:rPr>
            </w:pPr>
          </w:p>
        </w:tc>
        <w:tc>
          <w:tcPr>
            <w:tcW w:w="1289" w:type="pct"/>
            <w:shd w:val="clear" w:color="auto" w:fill="auto"/>
            <w:noWrap/>
            <w:vAlign w:val="center"/>
          </w:tcPr>
          <w:p>
            <w:pPr>
              <w:jc w:val="center"/>
              <w:rPr>
                <w:rFonts w:hint="eastAsia"/>
                <w:sz w:val="19"/>
              </w:rPr>
            </w:pPr>
            <w:r>
              <w:rPr>
                <w:rFonts w:hint="eastAsia"/>
                <w:sz w:val="19"/>
              </w:rPr>
              <w:t>充电总功率（kW）</w:t>
            </w:r>
          </w:p>
        </w:tc>
        <w:tc>
          <w:tcPr>
            <w:tcW w:w="485" w:type="pct"/>
            <w:shd w:val="clear" w:color="auto" w:fill="auto"/>
            <w:noWrap/>
            <w:vAlign w:val="center"/>
          </w:tcPr>
          <w:p>
            <w:pPr>
              <w:jc w:val="center"/>
              <w:rPr>
                <w:rFonts w:hint="eastAsia"/>
                <w:sz w:val="19"/>
              </w:rPr>
            </w:pPr>
            <w:r>
              <w:rPr>
                <w:rFonts w:hint="eastAsia"/>
                <w:sz w:val="19"/>
              </w:rPr>
              <w:t>900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360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1" w:type="pct"/>
            <w:shd w:val="clear" w:color="auto" w:fill="auto"/>
            <w:noWrap/>
            <w:vAlign w:val="center"/>
          </w:tcPr>
          <w:p>
            <w:pPr>
              <w:jc w:val="center"/>
              <w:rPr>
                <w:rFonts w:hint="eastAsia"/>
                <w:sz w:val="19"/>
              </w:rPr>
            </w:pPr>
            <w:r>
              <w:rPr>
                <w:rFonts w:hint="eastAsia"/>
                <w:sz w:val="19"/>
              </w:rPr>
              <w:t>1980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restart"/>
            <w:shd w:val="clear" w:color="auto" w:fill="auto"/>
            <w:noWrap/>
            <w:vAlign w:val="center"/>
          </w:tcPr>
          <w:p>
            <w:pPr>
              <w:jc w:val="center"/>
              <w:rPr>
                <w:rFonts w:hint="eastAsia"/>
                <w:sz w:val="19"/>
              </w:rPr>
            </w:pPr>
            <w:r>
              <w:rPr>
                <w:rFonts w:hint="eastAsia"/>
                <w:sz w:val="19"/>
              </w:rPr>
              <w:t>沙尖子镇块区</w:t>
            </w:r>
          </w:p>
        </w:tc>
        <w:tc>
          <w:tcPr>
            <w:tcW w:w="1289" w:type="pct"/>
            <w:shd w:val="clear" w:color="auto" w:fill="auto"/>
            <w:noWrap/>
            <w:vAlign w:val="center"/>
          </w:tcPr>
          <w:p>
            <w:pPr>
              <w:jc w:val="center"/>
              <w:rPr>
                <w:rFonts w:hint="eastAsia"/>
                <w:sz w:val="19"/>
              </w:rPr>
            </w:pPr>
            <w:r>
              <w:rPr>
                <w:rFonts w:hint="eastAsia"/>
                <w:sz w:val="19"/>
              </w:rPr>
              <w:t>60kW充电桩数量（台）</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3</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1" w:type="pct"/>
            <w:shd w:val="clear" w:color="auto" w:fill="auto"/>
            <w:noWrap/>
            <w:vAlign w:val="center"/>
          </w:tcPr>
          <w:p>
            <w:pPr>
              <w:jc w:val="center"/>
              <w:rPr>
                <w:rFonts w:hint="eastAsia"/>
                <w:sz w:val="19"/>
              </w:rPr>
            </w:pPr>
            <w:r>
              <w:rPr>
                <w:rFonts w:hint="eastAsia"/>
                <w:sz w:val="19"/>
              </w:rPr>
              <w:t>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continue"/>
            <w:vAlign w:val="center"/>
          </w:tcPr>
          <w:p>
            <w:pPr>
              <w:jc w:val="center"/>
              <w:rPr>
                <w:rFonts w:hint="eastAsia"/>
                <w:sz w:val="19"/>
              </w:rPr>
            </w:pPr>
          </w:p>
        </w:tc>
        <w:tc>
          <w:tcPr>
            <w:tcW w:w="1289" w:type="pct"/>
            <w:shd w:val="clear" w:color="auto" w:fill="auto"/>
            <w:noWrap/>
            <w:vAlign w:val="center"/>
          </w:tcPr>
          <w:p>
            <w:pPr>
              <w:jc w:val="center"/>
              <w:rPr>
                <w:rFonts w:hint="eastAsia"/>
                <w:sz w:val="19"/>
              </w:rPr>
            </w:pPr>
            <w:r>
              <w:rPr>
                <w:rFonts w:hint="eastAsia"/>
                <w:sz w:val="19"/>
              </w:rPr>
              <w:t>7kW充电桩数量（台）</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1" w:type="pct"/>
            <w:shd w:val="clear" w:color="auto" w:fill="auto"/>
            <w:noWrap/>
            <w:vAlign w:val="center"/>
          </w:tcPr>
          <w:p>
            <w:pPr>
              <w:jc w:val="center"/>
              <w:rPr>
                <w:rFonts w:hint="eastAsia"/>
                <w:sz w:val="19"/>
              </w:rPr>
            </w:pPr>
            <w:r>
              <w:rPr>
                <w:rFonts w:hint="eastAsia"/>
                <w:sz w:val="19"/>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continue"/>
            <w:vAlign w:val="center"/>
          </w:tcPr>
          <w:p>
            <w:pPr>
              <w:jc w:val="center"/>
              <w:rPr>
                <w:rFonts w:hint="eastAsia"/>
                <w:sz w:val="19"/>
              </w:rPr>
            </w:pPr>
          </w:p>
        </w:tc>
        <w:tc>
          <w:tcPr>
            <w:tcW w:w="1289" w:type="pct"/>
            <w:shd w:val="clear" w:color="auto" w:fill="auto"/>
            <w:noWrap/>
            <w:vAlign w:val="center"/>
          </w:tcPr>
          <w:p>
            <w:pPr>
              <w:jc w:val="center"/>
              <w:rPr>
                <w:rFonts w:hint="eastAsia"/>
                <w:sz w:val="19"/>
              </w:rPr>
            </w:pPr>
            <w:r>
              <w:rPr>
                <w:rFonts w:hint="eastAsia"/>
                <w:sz w:val="19"/>
              </w:rPr>
              <w:t>充电总功率（kW）</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180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1" w:type="pct"/>
            <w:shd w:val="clear" w:color="auto" w:fill="auto"/>
            <w:noWrap/>
            <w:vAlign w:val="center"/>
          </w:tcPr>
          <w:p>
            <w:pPr>
              <w:jc w:val="center"/>
              <w:rPr>
                <w:rFonts w:hint="eastAsia"/>
                <w:sz w:val="19"/>
              </w:rPr>
            </w:pPr>
            <w:r>
              <w:rPr>
                <w:rFonts w:hint="eastAsia"/>
                <w:sz w:val="19"/>
              </w:rPr>
              <w:t>720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restart"/>
            <w:shd w:val="clear" w:color="auto" w:fill="auto"/>
            <w:noWrap/>
            <w:vAlign w:val="center"/>
          </w:tcPr>
          <w:p>
            <w:pPr>
              <w:jc w:val="center"/>
              <w:rPr>
                <w:rFonts w:hint="eastAsia"/>
                <w:sz w:val="19"/>
              </w:rPr>
            </w:pPr>
            <w:r>
              <w:rPr>
                <w:rFonts w:hint="eastAsia"/>
                <w:sz w:val="19"/>
              </w:rPr>
              <w:t>五里甸子镇块区</w:t>
            </w:r>
          </w:p>
        </w:tc>
        <w:tc>
          <w:tcPr>
            <w:tcW w:w="1289" w:type="pct"/>
            <w:shd w:val="clear" w:color="auto" w:fill="auto"/>
            <w:noWrap/>
            <w:vAlign w:val="center"/>
          </w:tcPr>
          <w:p>
            <w:pPr>
              <w:jc w:val="center"/>
              <w:rPr>
                <w:rFonts w:hint="eastAsia"/>
                <w:sz w:val="19"/>
              </w:rPr>
            </w:pPr>
            <w:r>
              <w:rPr>
                <w:rFonts w:hint="eastAsia"/>
                <w:sz w:val="19"/>
              </w:rPr>
              <w:t>60kW充电桩数量（台）</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3</w:t>
            </w:r>
          </w:p>
        </w:tc>
        <w:tc>
          <w:tcPr>
            <w:tcW w:w="511" w:type="pct"/>
            <w:shd w:val="clear" w:color="auto" w:fill="auto"/>
            <w:noWrap/>
            <w:vAlign w:val="center"/>
          </w:tcPr>
          <w:p>
            <w:pPr>
              <w:jc w:val="center"/>
              <w:rPr>
                <w:rFonts w:hint="eastAsia"/>
                <w:sz w:val="19"/>
              </w:rPr>
            </w:pPr>
            <w:r>
              <w:rPr>
                <w:rFonts w:hint="eastAsia"/>
                <w:sz w:val="19"/>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continue"/>
            <w:vAlign w:val="center"/>
          </w:tcPr>
          <w:p>
            <w:pPr>
              <w:jc w:val="center"/>
              <w:rPr>
                <w:rFonts w:hint="eastAsia"/>
                <w:sz w:val="19"/>
              </w:rPr>
            </w:pPr>
          </w:p>
        </w:tc>
        <w:tc>
          <w:tcPr>
            <w:tcW w:w="1289" w:type="pct"/>
            <w:shd w:val="clear" w:color="auto" w:fill="auto"/>
            <w:noWrap/>
            <w:vAlign w:val="center"/>
          </w:tcPr>
          <w:p>
            <w:pPr>
              <w:jc w:val="center"/>
              <w:rPr>
                <w:rFonts w:hint="eastAsia"/>
                <w:sz w:val="19"/>
              </w:rPr>
            </w:pPr>
            <w:r>
              <w:rPr>
                <w:rFonts w:hint="eastAsia"/>
                <w:sz w:val="19"/>
              </w:rPr>
              <w:t>7kW充电桩数量（台）</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1" w:type="pct"/>
            <w:shd w:val="clear" w:color="auto" w:fill="auto"/>
            <w:noWrap/>
            <w:vAlign w:val="center"/>
          </w:tcPr>
          <w:p>
            <w:pPr>
              <w:jc w:val="center"/>
              <w:rPr>
                <w:rFonts w:hint="eastAsia"/>
                <w:sz w:val="19"/>
              </w:rPr>
            </w:pPr>
            <w:r>
              <w:rPr>
                <w:rFonts w:hint="eastAsia"/>
                <w:sz w:val="19"/>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continue"/>
            <w:vAlign w:val="center"/>
          </w:tcPr>
          <w:p>
            <w:pPr>
              <w:jc w:val="center"/>
              <w:rPr>
                <w:rFonts w:hint="eastAsia"/>
                <w:sz w:val="19"/>
              </w:rPr>
            </w:pPr>
          </w:p>
        </w:tc>
        <w:tc>
          <w:tcPr>
            <w:tcW w:w="1289" w:type="pct"/>
            <w:shd w:val="clear" w:color="auto" w:fill="auto"/>
            <w:noWrap/>
            <w:vAlign w:val="center"/>
          </w:tcPr>
          <w:p>
            <w:pPr>
              <w:jc w:val="center"/>
              <w:rPr>
                <w:rFonts w:hint="eastAsia"/>
                <w:sz w:val="19"/>
              </w:rPr>
            </w:pPr>
            <w:r>
              <w:rPr>
                <w:rFonts w:hint="eastAsia"/>
                <w:sz w:val="19"/>
              </w:rPr>
              <w:t>充电总功率（kW）</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180</w:t>
            </w:r>
          </w:p>
        </w:tc>
        <w:tc>
          <w:tcPr>
            <w:tcW w:w="511" w:type="pct"/>
            <w:shd w:val="clear" w:color="auto" w:fill="auto"/>
            <w:noWrap/>
            <w:vAlign w:val="center"/>
          </w:tcPr>
          <w:p>
            <w:pPr>
              <w:jc w:val="center"/>
              <w:rPr>
                <w:rFonts w:hint="eastAsia"/>
                <w:sz w:val="19"/>
              </w:rPr>
            </w:pPr>
            <w:r>
              <w:rPr>
                <w:rFonts w:hint="eastAsia"/>
                <w:sz w:val="19"/>
              </w:rPr>
              <w:t>240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restart"/>
            <w:vAlign w:val="center"/>
          </w:tcPr>
          <w:p>
            <w:pPr>
              <w:jc w:val="center"/>
              <w:rPr>
                <w:rFonts w:hint="eastAsia"/>
                <w:sz w:val="19"/>
              </w:rPr>
            </w:pPr>
            <w:r>
              <w:rPr>
                <w:rFonts w:hint="eastAsia"/>
                <w:sz w:val="19"/>
              </w:rPr>
              <w:t>八里甸子镇</w:t>
            </w:r>
          </w:p>
        </w:tc>
        <w:tc>
          <w:tcPr>
            <w:tcW w:w="1289" w:type="pct"/>
            <w:shd w:val="clear" w:color="auto" w:fill="auto"/>
            <w:noWrap/>
            <w:vAlign w:val="center"/>
          </w:tcPr>
          <w:p>
            <w:pPr>
              <w:jc w:val="center"/>
              <w:rPr>
                <w:rFonts w:hint="eastAsia"/>
                <w:sz w:val="19"/>
              </w:rPr>
            </w:pPr>
            <w:r>
              <w:rPr>
                <w:rFonts w:hint="eastAsia"/>
                <w:sz w:val="19"/>
              </w:rPr>
              <w:t>60kW充电桩数量（台）</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3</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6</w:t>
            </w:r>
          </w:p>
        </w:tc>
        <w:tc>
          <w:tcPr>
            <w:tcW w:w="511" w:type="pct"/>
            <w:shd w:val="clear" w:color="auto" w:fill="auto"/>
            <w:noWrap/>
            <w:vAlign w:val="center"/>
          </w:tcPr>
          <w:p>
            <w:pPr>
              <w:jc w:val="center"/>
              <w:rPr>
                <w:rFonts w:hint="eastAsia"/>
                <w:sz w:val="19"/>
              </w:rPr>
            </w:pPr>
            <w:r>
              <w:rPr>
                <w:rFonts w:hint="eastAsia"/>
                <w:sz w:val="19"/>
              </w:rPr>
              <w:t>16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continue"/>
            <w:vAlign w:val="center"/>
          </w:tcPr>
          <w:p>
            <w:pPr>
              <w:jc w:val="center"/>
              <w:rPr>
                <w:rFonts w:hint="eastAsia"/>
                <w:sz w:val="19"/>
              </w:rPr>
            </w:pPr>
          </w:p>
        </w:tc>
        <w:tc>
          <w:tcPr>
            <w:tcW w:w="1289" w:type="pct"/>
            <w:shd w:val="clear" w:color="auto" w:fill="auto"/>
            <w:noWrap/>
            <w:vAlign w:val="center"/>
          </w:tcPr>
          <w:p>
            <w:pPr>
              <w:jc w:val="center"/>
              <w:rPr>
                <w:rFonts w:hint="eastAsia"/>
                <w:sz w:val="19"/>
              </w:rPr>
            </w:pPr>
            <w:r>
              <w:rPr>
                <w:rFonts w:hint="eastAsia"/>
                <w:sz w:val="19"/>
              </w:rPr>
              <w:t>7kW充电桩数量（台）</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1" w:type="pct"/>
            <w:shd w:val="clear" w:color="auto" w:fill="auto"/>
            <w:noWrap/>
            <w:vAlign w:val="center"/>
          </w:tcPr>
          <w:p>
            <w:pPr>
              <w:jc w:val="center"/>
              <w:rPr>
                <w:rFonts w:hint="eastAsia"/>
                <w:sz w:val="19"/>
              </w:rPr>
            </w:pPr>
            <w:r>
              <w:rPr>
                <w:rFonts w:hint="eastAsia"/>
                <w:sz w:val="19"/>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continue"/>
            <w:vAlign w:val="center"/>
          </w:tcPr>
          <w:p>
            <w:pPr>
              <w:jc w:val="center"/>
              <w:rPr>
                <w:rFonts w:hint="eastAsia"/>
                <w:sz w:val="19"/>
              </w:rPr>
            </w:pPr>
          </w:p>
        </w:tc>
        <w:tc>
          <w:tcPr>
            <w:tcW w:w="1289" w:type="pct"/>
            <w:shd w:val="clear" w:color="auto" w:fill="auto"/>
            <w:noWrap/>
            <w:vAlign w:val="center"/>
          </w:tcPr>
          <w:p>
            <w:pPr>
              <w:jc w:val="center"/>
              <w:rPr>
                <w:rFonts w:hint="eastAsia"/>
                <w:sz w:val="19"/>
              </w:rPr>
            </w:pPr>
            <w:r>
              <w:rPr>
                <w:rFonts w:hint="eastAsia"/>
                <w:sz w:val="19"/>
              </w:rPr>
              <w:t>充电总功率（kW）</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180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360</w:t>
            </w:r>
          </w:p>
        </w:tc>
        <w:tc>
          <w:tcPr>
            <w:tcW w:w="511" w:type="pct"/>
            <w:shd w:val="clear" w:color="auto" w:fill="auto"/>
            <w:noWrap/>
            <w:vAlign w:val="center"/>
          </w:tcPr>
          <w:p>
            <w:pPr>
              <w:jc w:val="center"/>
              <w:rPr>
                <w:rFonts w:hint="eastAsia"/>
                <w:sz w:val="19"/>
              </w:rPr>
            </w:pPr>
            <w:r>
              <w:rPr>
                <w:rFonts w:hint="eastAsia"/>
                <w:sz w:val="19"/>
              </w:rPr>
              <w:t>960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restart"/>
            <w:vAlign w:val="center"/>
          </w:tcPr>
          <w:p>
            <w:pPr>
              <w:jc w:val="center"/>
              <w:rPr>
                <w:rFonts w:hint="eastAsia"/>
                <w:sz w:val="19"/>
              </w:rPr>
            </w:pPr>
            <w:r>
              <w:rPr>
                <w:rFonts w:hint="eastAsia"/>
                <w:sz w:val="19"/>
              </w:rPr>
              <w:t>华来镇</w:t>
            </w:r>
          </w:p>
        </w:tc>
        <w:tc>
          <w:tcPr>
            <w:tcW w:w="1289" w:type="pct"/>
            <w:shd w:val="clear" w:color="auto" w:fill="auto"/>
            <w:noWrap/>
            <w:vAlign w:val="center"/>
          </w:tcPr>
          <w:p>
            <w:pPr>
              <w:jc w:val="center"/>
              <w:rPr>
                <w:rFonts w:hint="eastAsia"/>
                <w:sz w:val="19"/>
              </w:rPr>
            </w:pPr>
            <w:r>
              <w:rPr>
                <w:rFonts w:hint="eastAsia"/>
                <w:sz w:val="19"/>
              </w:rPr>
              <w:t>60kW充电桩数量（台）</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6</w:t>
            </w:r>
          </w:p>
        </w:tc>
        <w:tc>
          <w:tcPr>
            <w:tcW w:w="513" w:type="pct"/>
            <w:shd w:val="clear" w:color="auto" w:fill="auto"/>
            <w:noWrap/>
            <w:vAlign w:val="center"/>
          </w:tcPr>
          <w:p>
            <w:pPr>
              <w:jc w:val="center"/>
              <w:rPr>
                <w:rFonts w:hint="eastAsia"/>
                <w:sz w:val="19"/>
              </w:rPr>
            </w:pPr>
            <w:r>
              <w:rPr>
                <w:rFonts w:hint="eastAsia"/>
                <w:sz w:val="19"/>
              </w:rPr>
              <w:t>3</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3</w:t>
            </w:r>
          </w:p>
        </w:tc>
        <w:tc>
          <w:tcPr>
            <w:tcW w:w="511" w:type="pct"/>
            <w:shd w:val="clear" w:color="auto" w:fill="auto"/>
            <w:noWrap/>
            <w:vAlign w:val="center"/>
          </w:tcPr>
          <w:p>
            <w:pPr>
              <w:jc w:val="center"/>
              <w:rPr>
                <w:rFonts w:hint="eastAsia"/>
                <w:sz w:val="19"/>
              </w:rPr>
            </w:pPr>
            <w:r>
              <w:rPr>
                <w:rFonts w:hint="eastAsia"/>
                <w:sz w:val="19"/>
              </w:rPr>
              <w:t>45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continue"/>
            <w:vAlign w:val="center"/>
          </w:tcPr>
          <w:p>
            <w:pPr>
              <w:jc w:val="center"/>
              <w:rPr>
                <w:rFonts w:hint="eastAsia"/>
                <w:sz w:val="19"/>
              </w:rPr>
            </w:pPr>
          </w:p>
        </w:tc>
        <w:tc>
          <w:tcPr>
            <w:tcW w:w="1289" w:type="pct"/>
            <w:shd w:val="clear" w:color="auto" w:fill="auto"/>
            <w:noWrap/>
            <w:vAlign w:val="center"/>
          </w:tcPr>
          <w:p>
            <w:pPr>
              <w:jc w:val="center"/>
              <w:rPr>
                <w:rFonts w:hint="eastAsia"/>
                <w:sz w:val="19"/>
              </w:rPr>
            </w:pPr>
            <w:r>
              <w:rPr>
                <w:rFonts w:hint="eastAsia"/>
                <w:sz w:val="19"/>
              </w:rPr>
              <w:t>7kW充电桩数量（台）</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1" w:type="pct"/>
            <w:shd w:val="clear" w:color="auto" w:fill="auto"/>
            <w:noWrap/>
            <w:vAlign w:val="center"/>
          </w:tcPr>
          <w:p>
            <w:pPr>
              <w:jc w:val="center"/>
              <w:rPr>
                <w:rFonts w:hint="eastAsia"/>
                <w:sz w:val="19"/>
              </w:rPr>
            </w:pPr>
            <w:r>
              <w:rPr>
                <w:rFonts w:hint="eastAsia"/>
                <w:sz w:val="19"/>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continue"/>
            <w:vAlign w:val="center"/>
          </w:tcPr>
          <w:p>
            <w:pPr>
              <w:jc w:val="center"/>
              <w:rPr>
                <w:rFonts w:hint="eastAsia"/>
                <w:sz w:val="19"/>
              </w:rPr>
            </w:pPr>
          </w:p>
        </w:tc>
        <w:tc>
          <w:tcPr>
            <w:tcW w:w="1289" w:type="pct"/>
            <w:shd w:val="clear" w:color="auto" w:fill="auto"/>
            <w:noWrap/>
            <w:vAlign w:val="center"/>
          </w:tcPr>
          <w:p>
            <w:pPr>
              <w:jc w:val="center"/>
              <w:rPr>
                <w:rFonts w:hint="eastAsia"/>
                <w:sz w:val="19"/>
              </w:rPr>
            </w:pPr>
            <w:r>
              <w:rPr>
                <w:rFonts w:hint="eastAsia"/>
                <w:sz w:val="19"/>
              </w:rPr>
              <w:t>充电总功率（kW）</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360</w:t>
            </w:r>
          </w:p>
        </w:tc>
        <w:tc>
          <w:tcPr>
            <w:tcW w:w="513" w:type="pct"/>
            <w:shd w:val="clear" w:color="auto" w:fill="auto"/>
            <w:noWrap/>
            <w:vAlign w:val="center"/>
          </w:tcPr>
          <w:p>
            <w:pPr>
              <w:jc w:val="center"/>
              <w:rPr>
                <w:rFonts w:hint="eastAsia"/>
                <w:sz w:val="19"/>
              </w:rPr>
            </w:pPr>
            <w:r>
              <w:rPr>
                <w:rFonts w:hint="eastAsia"/>
                <w:sz w:val="19"/>
              </w:rPr>
              <w:t>180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180</w:t>
            </w:r>
          </w:p>
        </w:tc>
        <w:tc>
          <w:tcPr>
            <w:tcW w:w="511" w:type="pct"/>
            <w:shd w:val="clear" w:color="auto" w:fill="auto"/>
            <w:noWrap/>
            <w:vAlign w:val="center"/>
          </w:tcPr>
          <w:p>
            <w:pPr>
              <w:jc w:val="center"/>
              <w:rPr>
                <w:rFonts w:hint="eastAsia"/>
                <w:sz w:val="19"/>
              </w:rPr>
            </w:pPr>
            <w:r>
              <w:rPr>
                <w:rFonts w:hint="eastAsia"/>
                <w:sz w:val="19"/>
              </w:rPr>
              <w:t>2700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restart"/>
            <w:vAlign w:val="center"/>
          </w:tcPr>
          <w:p>
            <w:pPr>
              <w:jc w:val="center"/>
              <w:rPr>
                <w:rFonts w:hint="eastAsia"/>
                <w:sz w:val="19"/>
              </w:rPr>
            </w:pPr>
            <w:r>
              <w:rPr>
                <w:rFonts w:hint="eastAsia"/>
                <w:sz w:val="19"/>
              </w:rPr>
              <w:t>古城镇</w:t>
            </w:r>
          </w:p>
        </w:tc>
        <w:tc>
          <w:tcPr>
            <w:tcW w:w="1289" w:type="pct"/>
            <w:shd w:val="clear" w:color="auto" w:fill="auto"/>
            <w:noWrap/>
            <w:vAlign w:val="center"/>
          </w:tcPr>
          <w:p>
            <w:pPr>
              <w:jc w:val="center"/>
              <w:rPr>
                <w:rFonts w:hint="eastAsia"/>
                <w:sz w:val="19"/>
              </w:rPr>
            </w:pPr>
            <w:r>
              <w:rPr>
                <w:rFonts w:hint="eastAsia"/>
                <w:sz w:val="19"/>
              </w:rPr>
              <w:t>60kW充电桩数量（台）</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3</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1" w:type="pct"/>
            <w:shd w:val="clear" w:color="auto" w:fill="auto"/>
            <w:noWrap/>
            <w:vAlign w:val="center"/>
          </w:tcPr>
          <w:p>
            <w:pPr>
              <w:jc w:val="center"/>
              <w:rPr>
                <w:rFonts w:hint="eastAsia"/>
                <w:sz w:val="19"/>
              </w:rPr>
            </w:pPr>
            <w:r>
              <w:rPr>
                <w:rFonts w:hint="eastAsia"/>
                <w:sz w:val="19"/>
              </w:rPr>
              <w:t>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continue"/>
            <w:vAlign w:val="center"/>
          </w:tcPr>
          <w:p>
            <w:pPr>
              <w:jc w:val="center"/>
              <w:rPr>
                <w:rFonts w:hint="eastAsia"/>
                <w:sz w:val="19"/>
              </w:rPr>
            </w:pPr>
          </w:p>
        </w:tc>
        <w:tc>
          <w:tcPr>
            <w:tcW w:w="1289" w:type="pct"/>
            <w:shd w:val="clear" w:color="auto" w:fill="auto"/>
            <w:noWrap/>
            <w:vAlign w:val="center"/>
          </w:tcPr>
          <w:p>
            <w:pPr>
              <w:jc w:val="center"/>
              <w:rPr>
                <w:rFonts w:hint="eastAsia"/>
                <w:sz w:val="19"/>
              </w:rPr>
            </w:pPr>
            <w:r>
              <w:rPr>
                <w:rFonts w:hint="eastAsia"/>
                <w:sz w:val="19"/>
              </w:rPr>
              <w:t>7kW充电桩数量（台）</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1" w:type="pct"/>
            <w:shd w:val="clear" w:color="auto" w:fill="auto"/>
            <w:noWrap/>
            <w:vAlign w:val="center"/>
          </w:tcPr>
          <w:p>
            <w:pPr>
              <w:jc w:val="center"/>
              <w:rPr>
                <w:rFonts w:hint="eastAsia"/>
                <w:sz w:val="19"/>
              </w:rPr>
            </w:pPr>
            <w:r>
              <w:rPr>
                <w:rFonts w:hint="eastAsia"/>
                <w:sz w:val="19"/>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continue"/>
            <w:vAlign w:val="center"/>
          </w:tcPr>
          <w:p>
            <w:pPr>
              <w:jc w:val="center"/>
              <w:rPr>
                <w:rFonts w:hint="eastAsia"/>
                <w:sz w:val="19"/>
              </w:rPr>
            </w:pPr>
          </w:p>
        </w:tc>
        <w:tc>
          <w:tcPr>
            <w:tcW w:w="1289" w:type="pct"/>
            <w:shd w:val="clear" w:color="auto" w:fill="auto"/>
            <w:noWrap/>
            <w:vAlign w:val="center"/>
          </w:tcPr>
          <w:p>
            <w:pPr>
              <w:jc w:val="center"/>
              <w:rPr>
                <w:rFonts w:hint="eastAsia"/>
                <w:sz w:val="19"/>
              </w:rPr>
            </w:pPr>
            <w:r>
              <w:rPr>
                <w:rFonts w:hint="eastAsia"/>
                <w:sz w:val="19"/>
              </w:rPr>
              <w:t>充电总功率（kW）</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180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1" w:type="pct"/>
            <w:shd w:val="clear" w:color="auto" w:fill="auto"/>
            <w:noWrap/>
            <w:vAlign w:val="center"/>
          </w:tcPr>
          <w:p>
            <w:pPr>
              <w:jc w:val="center"/>
              <w:rPr>
                <w:rFonts w:hint="eastAsia"/>
                <w:sz w:val="19"/>
              </w:rPr>
            </w:pPr>
            <w:r>
              <w:rPr>
                <w:rFonts w:hint="eastAsia"/>
                <w:sz w:val="19"/>
              </w:rPr>
              <w:t>360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restart"/>
            <w:vAlign w:val="center"/>
          </w:tcPr>
          <w:p>
            <w:pPr>
              <w:jc w:val="center"/>
              <w:rPr>
                <w:rFonts w:hint="eastAsia"/>
                <w:sz w:val="19"/>
              </w:rPr>
            </w:pPr>
            <w:r>
              <w:rPr>
                <w:rFonts w:hint="eastAsia"/>
                <w:sz w:val="19"/>
              </w:rPr>
              <w:t>雅河朝鲜族乡</w:t>
            </w:r>
          </w:p>
        </w:tc>
        <w:tc>
          <w:tcPr>
            <w:tcW w:w="1289" w:type="pct"/>
            <w:shd w:val="clear" w:color="auto" w:fill="auto"/>
            <w:noWrap/>
            <w:vAlign w:val="center"/>
          </w:tcPr>
          <w:p>
            <w:pPr>
              <w:jc w:val="center"/>
              <w:rPr>
                <w:rFonts w:hint="eastAsia"/>
                <w:sz w:val="19"/>
              </w:rPr>
            </w:pPr>
            <w:r>
              <w:rPr>
                <w:rFonts w:hint="eastAsia"/>
                <w:sz w:val="19"/>
              </w:rPr>
              <w:t>60kW充电桩数量（台）</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3</w:t>
            </w:r>
          </w:p>
        </w:tc>
        <w:tc>
          <w:tcPr>
            <w:tcW w:w="513" w:type="pct"/>
            <w:shd w:val="clear" w:color="auto" w:fill="auto"/>
            <w:noWrap/>
            <w:vAlign w:val="center"/>
          </w:tcPr>
          <w:p>
            <w:pPr>
              <w:jc w:val="center"/>
              <w:rPr>
                <w:rFonts w:hint="eastAsia"/>
                <w:sz w:val="19"/>
              </w:rPr>
            </w:pPr>
            <w:r>
              <w:rPr>
                <w:rFonts w:hint="eastAsia"/>
                <w:sz w:val="19"/>
              </w:rPr>
              <w:t>15</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5</w:t>
            </w:r>
          </w:p>
        </w:tc>
        <w:tc>
          <w:tcPr>
            <w:tcW w:w="511" w:type="pct"/>
            <w:shd w:val="clear" w:color="auto" w:fill="auto"/>
            <w:noWrap/>
            <w:vAlign w:val="center"/>
          </w:tcPr>
          <w:p>
            <w:pPr>
              <w:jc w:val="center"/>
              <w:rPr>
                <w:rFonts w:hint="eastAsia"/>
                <w:sz w:val="19"/>
              </w:rPr>
            </w:pPr>
            <w:r>
              <w:rPr>
                <w:rFonts w:hint="eastAsia"/>
                <w:sz w:val="19"/>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continue"/>
            <w:vAlign w:val="center"/>
          </w:tcPr>
          <w:p>
            <w:pPr>
              <w:jc w:val="center"/>
              <w:rPr>
                <w:rFonts w:hint="eastAsia"/>
                <w:sz w:val="19"/>
              </w:rPr>
            </w:pPr>
          </w:p>
        </w:tc>
        <w:tc>
          <w:tcPr>
            <w:tcW w:w="1289" w:type="pct"/>
            <w:shd w:val="clear" w:color="auto" w:fill="auto"/>
            <w:noWrap/>
            <w:vAlign w:val="center"/>
          </w:tcPr>
          <w:p>
            <w:pPr>
              <w:jc w:val="center"/>
              <w:rPr>
                <w:rFonts w:hint="eastAsia"/>
                <w:sz w:val="19"/>
              </w:rPr>
            </w:pPr>
            <w:r>
              <w:rPr>
                <w:rFonts w:hint="eastAsia"/>
                <w:sz w:val="19"/>
              </w:rPr>
              <w:t>7kW充电桩数量（台）</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1" w:type="pct"/>
            <w:shd w:val="clear" w:color="auto" w:fill="auto"/>
            <w:noWrap/>
            <w:vAlign w:val="center"/>
          </w:tcPr>
          <w:p>
            <w:pPr>
              <w:jc w:val="center"/>
              <w:rPr>
                <w:rFonts w:hint="eastAsia"/>
                <w:sz w:val="19"/>
              </w:rPr>
            </w:pPr>
            <w:r>
              <w:rPr>
                <w:rFonts w:hint="eastAsia"/>
                <w:sz w:val="19"/>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continue"/>
            <w:vAlign w:val="center"/>
          </w:tcPr>
          <w:p>
            <w:pPr>
              <w:jc w:val="center"/>
              <w:rPr>
                <w:rFonts w:hint="eastAsia"/>
                <w:sz w:val="19"/>
              </w:rPr>
            </w:pPr>
          </w:p>
        </w:tc>
        <w:tc>
          <w:tcPr>
            <w:tcW w:w="1289" w:type="pct"/>
            <w:shd w:val="clear" w:color="auto" w:fill="auto"/>
            <w:noWrap/>
            <w:vAlign w:val="center"/>
          </w:tcPr>
          <w:p>
            <w:pPr>
              <w:jc w:val="center"/>
              <w:rPr>
                <w:rFonts w:hint="eastAsia"/>
                <w:sz w:val="19"/>
              </w:rPr>
            </w:pPr>
            <w:r>
              <w:rPr>
                <w:rFonts w:hint="eastAsia"/>
                <w:sz w:val="19"/>
              </w:rPr>
              <w:t>充电总功率（kW）</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180</w:t>
            </w:r>
          </w:p>
        </w:tc>
        <w:tc>
          <w:tcPr>
            <w:tcW w:w="513" w:type="pct"/>
            <w:shd w:val="clear" w:color="auto" w:fill="auto"/>
            <w:noWrap/>
            <w:vAlign w:val="center"/>
          </w:tcPr>
          <w:p>
            <w:pPr>
              <w:jc w:val="center"/>
              <w:rPr>
                <w:rFonts w:hint="eastAsia"/>
                <w:sz w:val="19"/>
              </w:rPr>
            </w:pPr>
            <w:r>
              <w:rPr>
                <w:rFonts w:hint="eastAsia"/>
                <w:sz w:val="19"/>
              </w:rPr>
              <w:t>900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300</w:t>
            </w:r>
          </w:p>
        </w:tc>
        <w:tc>
          <w:tcPr>
            <w:tcW w:w="511" w:type="pct"/>
            <w:shd w:val="clear" w:color="auto" w:fill="auto"/>
            <w:noWrap/>
            <w:vAlign w:val="center"/>
          </w:tcPr>
          <w:p>
            <w:pPr>
              <w:jc w:val="center"/>
              <w:rPr>
                <w:rFonts w:hint="eastAsia"/>
                <w:sz w:val="19"/>
              </w:rPr>
            </w:pPr>
            <w:r>
              <w:rPr>
                <w:rFonts w:hint="eastAsia"/>
                <w:sz w:val="19"/>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restart"/>
            <w:vAlign w:val="center"/>
          </w:tcPr>
          <w:p>
            <w:pPr>
              <w:jc w:val="center"/>
              <w:rPr>
                <w:rFonts w:hint="eastAsia"/>
                <w:sz w:val="19"/>
              </w:rPr>
            </w:pPr>
            <w:r>
              <w:rPr>
                <w:rFonts w:hint="eastAsia"/>
                <w:sz w:val="19"/>
              </w:rPr>
              <w:t>向阳乡</w:t>
            </w:r>
          </w:p>
        </w:tc>
        <w:tc>
          <w:tcPr>
            <w:tcW w:w="1289" w:type="pct"/>
            <w:shd w:val="clear" w:color="auto" w:fill="auto"/>
            <w:noWrap/>
            <w:vAlign w:val="center"/>
          </w:tcPr>
          <w:p>
            <w:pPr>
              <w:jc w:val="center"/>
              <w:rPr>
                <w:rFonts w:hint="eastAsia"/>
                <w:sz w:val="19"/>
              </w:rPr>
            </w:pPr>
            <w:r>
              <w:rPr>
                <w:rFonts w:hint="eastAsia"/>
                <w:sz w:val="19"/>
              </w:rPr>
              <w:t>60kW充电桩数量（台）</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15</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21</w:t>
            </w:r>
          </w:p>
        </w:tc>
        <w:tc>
          <w:tcPr>
            <w:tcW w:w="513" w:type="pct"/>
            <w:shd w:val="clear" w:color="auto" w:fill="auto"/>
            <w:noWrap/>
            <w:vAlign w:val="center"/>
          </w:tcPr>
          <w:p>
            <w:pPr>
              <w:jc w:val="center"/>
              <w:rPr>
                <w:rFonts w:hint="eastAsia"/>
                <w:sz w:val="19"/>
              </w:rPr>
            </w:pPr>
            <w:r>
              <w:rPr>
                <w:rFonts w:hint="eastAsia"/>
                <w:sz w:val="19"/>
              </w:rPr>
              <w:t>6</w:t>
            </w:r>
          </w:p>
        </w:tc>
        <w:tc>
          <w:tcPr>
            <w:tcW w:w="511" w:type="pct"/>
            <w:shd w:val="clear" w:color="auto" w:fill="auto"/>
            <w:noWrap/>
            <w:vAlign w:val="center"/>
          </w:tcPr>
          <w:p>
            <w:pPr>
              <w:jc w:val="center"/>
              <w:rPr>
                <w:rFonts w:hint="eastAsia"/>
                <w:sz w:val="19"/>
              </w:rPr>
            </w:pPr>
            <w:r>
              <w:rPr>
                <w:rFonts w:hint="eastAsia"/>
                <w:sz w:val="19"/>
              </w:rPr>
              <w:t>43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continue"/>
            <w:vAlign w:val="center"/>
          </w:tcPr>
          <w:p>
            <w:pPr>
              <w:jc w:val="center"/>
              <w:rPr>
                <w:rFonts w:hint="eastAsia"/>
                <w:sz w:val="19"/>
              </w:rPr>
            </w:pPr>
          </w:p>
        </w:tc>
        <w:tc>
          <w:tcPr>
            <w:tcW w:w="1289" w:type="pct"/>
            <w:shd w:val="clear" w:color="auto" w:fill="auto"/>
            <w:noWrap/>
            <w:vAlign w:val="center"/>
          </w:tcPr>
          <w:p>
            <w:pPr>
              <w:jc w:val="center"/>
              <w:rPr>
                <w:rFonts w:hint="eastAsia"/>
                <w:sz w:val="19"/>
              </w:rPr>
            </w:pPr>
            <w:r>
              <w:rPr>
                <w:rFonts w:hint="eastAsia"/>
                <w:sz w:val="19"/>
              </w:rPr>
              <w:t>7kW充电桩数量（台）</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1" w:type="pct"/>
            <w:shd w:val="clear" w:color="auto" w:fill="auto"/>
            <w:noWrap/>
            <w:vAlign w:val="center"/>
          </w:tcPr>
          <w:p>
            <w:pPr>
              <w:jc w:val="center"/>
              <w:rPr>
                <w:rFonts w:hint="eastAsia"/>
                <w:sz w:val="19"/>
              </w:rPr>
            </w:pPr>
            <w:r>
              <w:rPr>
                <w:rFonts w:hint="eastAsia"/>
                <w:sz w:val="19"/>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continue"/>
            <w:vAlign w:val="center"/>
          </w:tcPr>
          <w:p>
            <w:pPr>
              <w:jc w:val="center"/>
              <w:rPr>
                <w:rFonts w:hint="eastAsia"/>
                <w:sz w:val="19"/>
              </w:rPr>
            </w:pPr>
          </w:p>
        </w:tc>
        <w:tc>
          <w:tcPr>
            <w:tcW w:w="1289" w:type="pct"/>
            <w:shd w:val="clear" w:color="auto" w:fill="auto"/>
            <w:noWrap/>
            <w:vAlign w:val="center"/>
          </w:tcPr>
          <w:p>
            <w:pPr>
              <w:jc w:val="center"/>
              <w:rPr>
                <w:rFonts w:hint="eastAsia"/>
                <w:sz w:val="19"/>
              </w:rPr>
            </w:pPr>
            <w:r>
              <w:rPr>
                <w:rFonts w:hint="eastAsia"/>
                <w:sz w:val="19"/>
              </w:rPr>
              <w:t>充电总功率（kW）</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900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1260</w:t>
            </w:r>
          </w:p>
        </w:tc>
        <w:tc>
          <w:tcPr>
            <w:tcW w:w="513" w:type="pct"/>
            <w:shd w:val="clear" w:color="auto" w:fill="auto"/>
            <w:noWrap/>
            <w:vAlign w:val="center"/>
          </w:tcPr>
          <w:p>
            <w:pPr>
              <w:jc w:val="center"/>
              <w:rPr>
                <w:rFonts w:hint="eastAsia"/>
                <w:sz w:val="19"/>
              </w:rPr>
            </w:pPr>
            <w:r>
              <w:rPr>
                <w:rFonts w:hint="eastAsia"/>
                <w:sz w:val="19"/>
              </w:rPr>
              <w:t>360</w:t>
            </w:r>
          </w:p>
        </w:tc>
        <w:tc>
          <w:tcPr>
            <w:tcW w:w="511" w:type="pct"/>
            <w:shd w:val="clear" w:color="auto" w:fill="auto"/>
            <w:noWrap/>
            <w:vAlign w:val="center"/>
          </w:tcPr>
          <w:p>
            <w:pPr>
              <w:jc w:val="center"/>
              <w:rPr>
                <w:rFonts w:hint="eastAsia"/>
                <w:sz w:val="19"/>
              </w:rPr>
            </w:pPr>
            <w:r>
              <w:rPr>
                <w:rFonts w:hint="eastAsia"/>
                <w:sz w:val="19"/>
              </w:rPr>
              <w:t>2580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restart"/>
            <w:vAlign w:val="center"/>
          </w:tcPr>
          <w:p>
            <w:pPr>
              <w:jc w:val="center"/>
              <w:rPr>
                <w:rFonts w:hint="eastAsia"/>
                <w:sz w:val="19"/>
              </w:rPr>
            </w:pPr>
            <w:r>
              <w:rPr>
                <w:rFonts w:hint="eastAsia"/>
                <w:sz w:val="19"/>
              </w:rPr>
              <w:t>黑沟乡</w:t>
            </w:r>
          </w:p>
        </w:tc>
        <w:tc>
          <w:tcPr>
            <w:tcW w:w="1289" w:type="pct"/>
            <w:shd w:val="clear" w:color="auto" w:fill="auto"/>
            <w:noWrap/>
            <w:vAlign w:val="center"/>
          </w:tcPr>
          <w:p>
            <w:pPr>
              <w:jc w:val="center"/>
              <w:rPr>
                <w:rFonts w:hint="eastAsia"/>
                <w:sz w:val="19"/>
              </w:rPr>
            </w:pPr>
            <w:r>
              <w:rPr>
                <w:rFonts w:hint="eastAsia"/>
                <w:sz w:val="19"/>
              </w:rPr>
              <w:t>60kW充电桩数量（台）</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3</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3</w:t>
            </w:r>
          </w:p>
        </w:tc>
        <w:tc>
          <w:tcPr>
            <w:tcW w:w="511" w:type="pct"/>
            <w:shd w:val="clear" w:color="auto" w:fill="auto"/>
            <w:noWrap/>
            <w:vAlign w:val="center"/>
          </w:tcPr>
          <w:p>
            <w:pPr>
              <w:jc w:val="center"/>
              <w:rPr>
                <w:rFonts w:hint="eastAsia"/>
                <w:sz w:val="19"/>
              </w:rPr>
            </w:pPr>
            <w:r>
              <w:rPr>
                <w:rFonts w:hint="eastAsia"/>
                <w:sz w:val="19"/>
              </w:rPr>
              <w:t>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continue"/>
            <w:vAlign w:val="center"/>
          </w:tcPr>
          <w:p>
            <w:pPr>
              <w:jc w:val="center"/>
              <w:rPr>
                <w:rFonts w:hint="eastAsia"/>
                <w:sz w:val="19"/>
              </w:rPr>
            </w:pPr>
          </w:p>
        </w:tc>
        <w:tc>
          <w:tcPr>
            <w:tcW w:w="1289" w:type="pct"/>
            <w:shd w:val="clear" w:color="auto" w:fill="auto"/>
            <w:noWrap/>
            <w:vAlign w:val="center"/>
          </w:tcPr>
          <w:p>
            <w:pPr>
              <w:jc w:val="center"/>
              <w:rPr>
                <w:rFonts w:hint="eastAsia"/>
                <w:sz w:val="19"/>
              </w:rPr>
            </w:pPr>
            <w:r>
              <w:rPr>
                <w:rFonts w:hint="eastAsia"/>
                <w:sz w:val="19"/>
              </w:rPr>
              <w:t>7kW充电桩数量（台）</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1" w:type="pct"/>
            <w:shd w:val="clear" w:color="auto" w:fill="auto"/>
            <w:noWrap/>
            <w:vAlign w:val="center"/>
          </w:tcPr>
          <w:p>
            <w:pPr>
              <w:jc w:val="center"/>
              <w:rPr>
                <w:rFonts w:hint="eastAsia"/>
                <w:sz w:val="19"/>
              </w:rPr>
            </w:pPr>
            <w:r>
              <w:rPr>
                <w:rFonts w:hint="eastAsia"/>
                <w:sz w:val="19"/>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continue"/>
            <w:vAlign w:val="center"/>
          </w:tcPr>
          <w:p>
            <w:pPr>
              <w:jc w:val="center"/>
              <w:rPr>
                <w:rFonts w:hint="eastAsia"/>
                <w:sz w:val="19"/>
              </w:rPr>
            </w:pPr>
          </w:p>
        </w:tc>
        <w:tc>
          <w:tcPr>
            <w:tcW w:w="1289" w:type="pct"/>
            <w:shd w:val="clear" w:color="auto" w:fill="auto"/>
            <w:noWrap/>
            <w:vAlign w:val="center"/>
          </w:tcPr>
          <w:p>
            <w:pPr>
              <w:jc w:val="center"/>
              <w:rPr>
                <w:rFonts w:hint="eastAsia"/>
                <w:sz w:val="19"/>
              </w:rPr>
            </w:pPr>
            <w:r>
              <w:rPr>
                <w:rFonts w:hint="eastAsia"/>
                <w:sz w:val="19"/>
              </w:rPr>
              <w:t>充电总功率（kW）</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180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180</w:t>
            </w:r>
          </w:p>
        </w:tc>
        <w:tc>
          <w:tcPr>
            <w:tcW w:w="511" w:type="pct"/>
            <w:shd w:val="clear" w:color="auto" w:fill="auto"/>
            <w:noWrap/>
            <w:vAlign w:val="center"/>
          </w:tcPr>
          <w:p>
            <w:pPr>
              <w:jc w:val="center"/>
              <w:rPr>
                <w:rFonts w:hint="eastAsia"/>
                <w:sz w:val="19"/>
              </w:rPr>
            </w:pPr>
            <w:r>
              <w:rPr>
                <w:rFonts w:hint="eastAsia"/>
                <w:sz w:val="19"/>
              </w:rPr>
              <w:t>300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restart"/>
            <w:vAlign w:val="center"/>
          </w:tcPr>
          <w:p>
            <w:pPr>
              <w:jc w:val="center"/>
              <w:rPr>
                <w:rFonts w:hint="eastAsia"/>
                <w:sz w:val="19"/>
              </w:rPr>
            </w:pPr>
            <w:r>
              <w:rPr>
                <w:rFonts w:hint="eastAsia"/>
                <w:sz w:val="19"/>
              </w:rPr>
              <w:t>北甸子乡</w:t>
            </w:r>
          </w:p>
        </w:tc>
        <w:tc>
          <w:tcPr>
            <w:tcW w:w="1289" w:type="pct"/>
            <w:shd w:val="clear" w:color="auto" w:fill="auto"/>
            <w:noWrap/>
            <w:vAlign w:val="center"/>
          </w:tcPr>
          <w:p>
            <w:pPr>
              <w:jc w:val="center"/>
              <w:rPr>
                <w:rFonts w:hint="eastAsia"/>
                <w:sz w:val="19"/>
              </w:rPr>
            </w:pPr>
            <w:r>
              <w:rPr>
                <w:rFonts w:hint="eastAsia"/>
                <w:sz w:val="19"/>
              </w:rPr>
              <w:t>60kW充电桩数量（台）</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3</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1" w:type="pct"/>
            <w:shd w:val="clear" w:color="auto" w:fill="auto"/>
            <w:noWrap/>
            <w:vAlign w:val="center"/>
          </w:tcPr>
          <w:p>
            <w:pPr>
              <w:jc w:val="center"/>
              <w:rPr>
                <w:rFonts w:hint="eastAsia"/>
                <w:sz w:val="19"/>
              </w:rPr>
            </w:pPr>
            <w:r>
              <w:rPr>
                <w:rFonts w:hint="eastAsia"/>
                <w:sz w:val="19"/>
              </w:rPr>
              <w:t>10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continue"/>
            <w:vAlign w:val="center"/>
          </w:tcPr>
          <w:p>
            <w:pPr>
              <w:jc w:val="center"/>
              <w:rPr>
                <w:rFonts w:hint="eastAsia"/>
                <w:sz w:val="19"/>
              </w:rPr>
            </w:pPr>
          </w:p>
        </w:tc>
        <w:tc>
          <w:tcPr>
            <w:tcW w:w="1289" w:type="pct"/>
            <w:shd w:val="clear" w:color="auto" w:fill="auto"/>
            <w:noWrap/>
            <w:vAlign w:val="center"/>
          </w:tcPr>
          <w:p>
            <w:pPr>
              <w:jc w:val="center"/>
              <w:rPr>
                <w:rFonts w:hint="eastAsia"/>
                <w:sz w:val="19"/>
              </w:rPr>
            </w:pPr>
            <w:r>
              <w:rPr>
                <w:rFonts w:hint="eastAsia"/>
                <w:sz w:val="19"/>
              </w:rPr>
              <w:t>7kW充电桩数量（台）</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1" w:type="pct"/>
            <w:shd w:val="clear" w:color="auto" w:fill="auto"/>
            <w:noWrap/>
            <w:vAlign w:val="center"/>
          </w:tcPr>
          <w:p>
            <w:pPr>
              <w:jc w:val="center"/>
              <w:rPr>
                <w:rFonts w:hint="eastAsia"/>
                <w:sz w:val="19"/>
              </w:rPr>
            </w:pPr>
            <w:r>
              <w:rPr>
                <w:rFonts w:hint="eastAsia"/>
                <w:sz w:val="19"/>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continue"/>
            <w:vAlign w:val="center"/>
          </w:tcPr>
          <w:p>
            <w:pPr>
              <w:jc w:val="center"/>
              <w:rPr>
                <w:rFonts w:hint="eastAsia"/>
                <w:sz w:val="19"/>
              </w:rPr>
            </w:pPr>
          </w:p>
        </w:tc>
        <w:tc>
          <w:tcPr>
            <w:tcW w:w="1289" w:type="pct"/>
            <w:shd w:val="clear" w:color="auto" w:fill="auto"/>
            <w:noWrap/>
            <w:vAlign w:val="center"/>
          </w:tcPr>
          <w:p>
            <w:pPr>
              <w:jc w:val="center"/>
              <w:rPr>
                <w:rFonts w:hint="eastAsia"/>
                <w:sz w:val="19"/>
              </w:rPr>
            </w:pPr>
            <w:r>
              <w:rPr>
                <w:rFonts w:hint="eastAsia"/>
                <w:sz w:val="19"/>
              </w:rPr>
              <w:t>充电总功率（kW）</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180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1" w:type="pct"/>
            <w:shd w:val="clear" w:color="auto" w:fill="auto"/>
            <w:noWrap/>
            <w:vAlign w:val="center"/>
          </w:tcPr>
          <w:p>
            <w:pPr>
              <w:jc w:val="center"/>
              <w:rPr>
                <w:rFonts w:hint="eastAsia"/>
                <w:sz w:val="19"/>
              </w:rPr>
            </w:pPr>
            <w:r>
              <w:rPr>
                <w:rFonts w:hint="eastAsia"/>
                <w:sz w:val="19"/>
              </w:rPr>
              <w:t>600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restart"/>
            <w:vAlign w:val="center"/>
          </w:tcPr>
          <w:p>
            <w:pPr>
              <w:jc w:val="center"/>
              <w:rPr>
                <w:rFonts w:hint="eastAsia"/>
                <w:sz w:val="19"/>
              </w:rPr>
            </w:pPr>
            <w:r>
              <w:rPr>
                <w:rFonts w:hint="eastAsia"/>
                <w:sz w:val="19"/>
              </w:rPr>
              <w:t>二棚甸子镇</w:t>
            </w:r>
          </w:p>
        </w:tc>
        <w:tc>
          <w:tcPr>
            <w:tcW w:w="1289" w:type="pct"/>
            <w:shd w:val="clear" w:color="auto" w:fill="auto"/>
            <w:noWrap/>
          </w:tcPr>
          <w:p>
            <w:pPr>
              <w:jc w:val="center"/>
              <w:rPr>
                <w:rFonts w:hint="eastAsia"/>
                <w:sz w:val="19"/>
              </w:rPr>
            </w:pPr>
            <w:r>
              <w:rPr>
                <w:rFonts w:hint="eastAsia"/>
                <w:sz w:val="19"/>
              </w:rPr>
              <w:t>60kW充电桩数量（台）</w:t>
            </w:r>
          </w:p>
        </w:tc>
        <w:tc>
          <w:tcPr>
            <w:tcW w:w="485" w:type="pct"/>
            <w:shd w:val="clear" w:color="auto" w:fill="auto"/>
            <w:noWrap/>
            <w:vAlign w:val="center"/>
          </w:tcPr>
          <w:p>
            <w:pPr>
              <w:jc w:val="center"/>
              <w:rPr>
                <w:rFonts w:hint="eastAsia"/>
                <w:sz w:val="19"/>
              </w:rPr>
            </w:pPr>
            <w:r>
              <w:rPr>
                <w:rFonts w:hint="eastAsia"/>
                <w:sz w:val="19"/>
              </w:rPr>
              <w:t>3</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3</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18</w:t>
            </w:r>
          </w:p>
        </w:tc>
        <w:tc>
          <w:tcPr>
            <w:tcW w:w="511" w:type="pct"/>
            <w:shd w:val="clear" w:color="auto" w:fill="auto"/>
            <w:noWrap/>
            <w:vAlign w:val="center"/>
          </w:tcPr>
          <w:p>
            <w:pPr>
              <w:jc w:val="center"/>
              <w:rPr>
                <w:rFonts w:hint="eastAsia"/>
                <w:sz w:val="19"/>
              </w:rPr>
            </w:pPr>
            <w:r>
              <w:rPr>
                <w:rFonts w:hint="eastAsia"/>
                <w:sz w:val="19"/>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continue"/>
            <w:vAlign w:val="center"/>
          </w:tcPr>
          <w:p>
            <w:pPr>
              <w:jc w:val="center"/>
              <w:rPr>
                <w:rFonts w:hint="eastAsia"/>
                <w:sz w:val="19"/>
              </w:rPr>
            </w:pPr>
          </w:p>
        </w:tc>
        <w:tc>
          <w:tcPr>
            <w:tcW w:w="1289" w:type="pct"/>
            <w:shd w:val="clear" w:color="auto" w:fill="auto"/>
            <w:noWrap/>
          </w:tcPr>
          <w:p>
            <w:pPr>
              <w:jc w:val="center"/>
              <w:rPr>
                <w:rFonts w:hint="eastAsia"/>
                <w:sz w:val="19"/>
              </w:rPr>
            </w:pPr>
            <w:r>
              <w:rPr>
                <w:rFonts w:hint="eastAsia"/>
                <w:sz w:val="19"/>
              </w:rPr>
              <w:t>7kW充电桩数量（台）</w:t>
            </w:r>
          </w:p>
        </w:tc>
        <w:tc>
          <w:tcPr>
            <w:tcW w:w="485"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0</w:t>
            </w:r>
          </w:p>
        </w:tc>
        <w:tc>
          <w:tcPr>
            <w:tcW w:w="511" w:type="pct"/>
            <w:shd w:val="clear" w:color="auto" w:fill="auto"/>
            <w:noWrap/>
            <w:vAlign w:val="center"/>
          </w:tcPr>
          <w:p>
            <w:pPr>
              <w:jc w:val="center"/>
              <w:rPr>
                <w:rFonts w:hint="eastAsia"/>
                <w:sz w:val="19"/>
              </w:rPr>
            </w:pPr>
            <w:r>
              <w:rPr>
                <w:rFonts w:hint="eastAsia"/>
                <w:sz w:val="19"/>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63" w:type="pct"/>
            <w:vMerge w:val="continue"/>
            <w:vAlign w:val="center"/>
          </w:tcPr>
          <w:p>
            <w:pPr>
              <w:jc w:val="center"/>
              <w:rPr>
                <w:rFonts w:hint="eastAsia"/>
                <w:sz w:val="19"/>
              </w:rPr>
            </w:pPr>
          </w:p>
        </w:tc>
        <w:tc>
          <w:tcPr>
            <w:tcW w:w="1289" w:type="pct"/>
            <w:shd w:val="clear" w:color="auto" w:fill="auto"/>
            <w:noWrap/>
          </w:tcPr>
          <w:p>
            <w:pPr>
              <w:jc w:val="center"/>
              <w:rPr>
                <w:rFonts w:hint="eastAsia"/>
                <w:sz w:val="19"/>
              </w:rPr>
            </w:pPr>
            <w:r>
              <w:rPr>
                <w:rFonts w:hint="eastAsia"/>
                <w:sz w:val="19"/>
              </w:rPr>
              <w:t>充电总功率（kW）</w:t>
            </w:r>
          </w:p>
        </w:tc>
        <w:tc>
          <w:tcPr>
            <w:tcW w:w="485" w:type="pct"/>
            <w:shd w:val="clear" w:color="auto" w:fill="auto"/>
            <w:noWrap/>
            <w:vAlign w:val="center"/>
          </w:tcPr>
          <w:p>
            <w:pPr>
              <w:jc w:val="center"/>
              <w:rPr>
                <w:rFonts w:hint="eastAsia"/>
                <w:sz w:val="19"/>
              </w:rPr>
            </w:pPr>
            <w:r>
              <w:rPr>
                <w:rFonts w:hint="eastAsia"/>
                <w:sz w:val="19"/>
              </w:rPr>
              <w:t>180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180</w:t>
            </w:r>
          </w:p>
        </w:tc>
        <w:tc>
          <w:tcPr>
            <w:tcW w:w="513" w:type="pct"/>
            <w:shd w:val="clear" w:color="auto" w:fill="auto"/>
            <w:noWrap/>
            <w:vAlign w:val="center"/>
          </w:tcPr>
          <w:p>
            <w:pPr>
              <w:jc w:val="center"/>
              <w:rPr>
                <w:rFonts w:hint="eastAsia"/>
                <w:sz w:val="19"/>
              </w:rPr>
            </w:pPr>
            <w:r>
              <w:rPr>
                <w:rFonts w:hint="eastAsia"/>
                <w:sz w:val="19"/>
              </w:rPr>
              <w:t>0</w:t>
            </w:r>
          </w:p>
        </w:tc>
        <w:tc>
          <w:tcPr>
            <w:tcW w:w="513" w:type="pct"/>
            <w:shd w:val="clear" w:color="auto" w:fill="auto"/>
            <w:noWrap/>
            <w:vAlign w:val="center"/>
          </w:tcPr>
          <w:p>
            <w:pPr>
              <w:jc w:val="center"/>
              <w:rPr>
                <w:rFonts w:hint="eastAsia"/>
                <w:sz w:val="19"/>
              </w:rPr>
            </w:pPr>
            <w:r>
              <w:rPr>
                <w:rFonts w:hint="eastAsia"/>
                <w:sz w:val="19"/>
              </w:rPr>
              <w:t>1080</w:t>
            </w:r>
          </w:p>
        </w:tc>
        <w:tc>
          <w:tcPr>
            <w:tcW w:w="511" w:type="pct"/>
            <w:shd w:val="clear" w:color="auto" w:fill="auto"/>
            <w:noWrap/>
            <w:vAlign w:val="center"/>
          </w:tcPr>
          <w:p>
            <w:pPr>
              <w:jc w:val="center"/>
              <w:rPr>
                <w:rFonts w:hint="eastAsia"/>
                <w:sz w:val="19"/>
              </w:rPr>
            </w:pPr>
            <w:r>
              <w:rPr>
                <w:rFonts w:hint="eastAsia"/>
                <w:sz w:val="19"/>
              </w:rPr>
              <w:t>0</w:t>
            </w:r>
          </w:p>
        </w:tc>
      </w:tr>
    </w:tbl>
    <w:p>
      <w:pPr>
        <w:spacing w:line="360" w:lineRule="auto"/>
        <w:ind w:firstLine="561"/>
        <w:rPr>
          <w:rFonts w:hint="eastAsia"/>
        </w:rPr>
      </w:pPr>
      <w:r>
        <w:rPr>
          <w:rFonts w:hint="eastAsia"/>
        </w:rPr>
        <w:br w:type="page"/>
      </w:r>
    </w:p>
    <w:bookmarkEnd w:id="49"/>
    <w:bookmarkEnd w:id="50"/>
    <w:p>
      <w:pPr>
        <w:pStyle w:val="2"/>
      </w:pPr>
      <w:bookmarkStart w:id="63" w:name="_Toc94186588"/>
      <w:bookmarkStart w:id="64" w:name="_Toc5004"/>
      <w:r>
        <w:rPr>
          <w:b w:val="0"/>
        </w:rPr>
        <w:t>发展策略</w:t>
      </w:r>
      <w:bookmarkEnd w:id="63"/>
      <w:bookmarkEnd w:id="64"/>
    </w:p>
    <w:p>
      <w:pPr>
        <w:pStyle w:val="3"/>
      </w:pPr>
      <w:bookmarkStart w:id="65" w:name="_Toc10267"/>
      <w:r>
        <w:rPr>
          <w:rFonts w:hint="eastAsia"/>
          <w:color w:val="000000" w:themeColor="text1"/>
          <w14:textFill>
            <w14:solidFill>
              <w14:schemeClr w14:val="tx1"/>
            </w14:solidFill>
          </w14:textFill>
        </w:rPr>
        <w:t>公共充电设施选址原则及布局思路</w:t>
      </w:r>
      <w:bookmarkEnd w:id="65"/>
    </w:p>
    <w:p>
      <w:pPr>
        <w:pStyle w:val="47"/>
        <w:numPr>
          <w:ilvl w:val="0"/>
          <w:numId w:val="9"/>
        </w:numPr>
        <w:ind w:firstLineChars="0"/>
        <w:rPr>
          <w:rFonts w:hint="eastAsia" w:cs="仿宋_GB2312"/>
          <w:szCs w:val="22"/>
        </w:rPr>
      </w:pPr>
      <w:bookmarkStart w:id="66" w:name="_Toc94186590"/>
      <w:r>
        <w:rPr>
          <w:rFonts w:hint="eastAsia" w:cs="仿宋_GB2312"/>
          <w:szCs w:val="22"/>
        </w:rPr>
        <w:t>选址原则</w:t>
      </w:r>
    </w:p>
    <w:p>
      <w:pPr>
        <w:ind w:firstLine="560"/>
        <w:rPr>
          <w:rFonts w:hint="eastAsia" w:cs="仿宋_GB2312"/>
          <w:szCs w:val="22"/>
        </w:rPr>
      </w:pPr>
      <w:r>
        <w:rPr>
          <w:rFonts w:hint="eastAsia" w:cs="仿宋_GB2312"/>
          <w:szCs w:val="22"/>
        </w:rPr>
        <w:t>（1）城市公共充电桩的布局应符合城市规划的要求，并应优先选在社会公共停车场及路外停车场地范围内，城市集中公共充电站应独立占地；</w:t>
      </w:r>
    </w:p>
    <w:p>
      <w:pPr>
        <w:ind w:firstLine="560"/>
        <w:rPr>
          <w:rFonts w:hint="eastAsia" w:cs="仿宋_GB2312"/>
          <w:szCs w:val="22"/>
        </w:rPr>
      </w:pPr>
      <w:r>
        <w:rPr>
          <w:rFonts w:hint="eastAsia" w:cs="仿宋_GB2312"/>
          <w:szCs w:val="22"/>
        </w:rPr>
        <w:t>（2）城市公共充电桩与充电站应选在交通便利且不妨碍交通通畅且交通便利的地区，在学校周边应减少充电设施布置，避免上学放学期间产生相互影响；</w:t>
      </w:r>
    </w:p>
    <w:p>
      <w:pPr>
        <w:ind w:firstLine="560"/>
        <w:rPr>
          <w:rFonts w:hint="eastAsia" w:cs="仿宋_GB2312"/>
          <w:szCs w:val="22"/>
        </w:rPr>
      </w:pPr>
      <w:r>
        <w:rPr>
          <w:rFonts w:hint="eastAsia" w:cs="仿宋_GB2312"/>
          <w:szCs w:val="22"/>
        </w:rPr>
        <w:t>（3）城市公共充电桩应选在人口集中区及需求量大的区域附近；</w:t>
      </w:r>
    </w:p>
    <w:p>
      <w:pPr>
        <w:ind w:firstLine="560"/>
        <w:rPr>
          <w:rFonts w:hint="eastAsia" w:cs="仿宋_GB2312"/>
          <w:szCs w:val="22"/>
        </w:rPr>
      </w:pPr>
      <w:r>
        <w:rPr>
          <w:rFonts w:hint="eastAsia" w:cs="仿宋_GB2312"/>
          <w:szCs w:val="22"/>
        </w:rPr>
        <w:t>（4）城市公共充电桩与充电站应选址与城市中低压配电网的规划和建设密切结合，满足供电可靠性、电能质量、自动化等方面要求；</w:t>
      </w:r>
    </w:p>
    <w:p>
      <w:pPr>
        <w:ind w:firstLine="560"/>
        <w:rPr>
          <w:rFonts w:hint="eastAsia" w:cs="仿宋_GB2312"/>
          <w:szCs w:val="22"/>
        </w:rPr>
      </w:pPr>
      <w:r>
        <w:rPr>
          <w:rFonts w:hint="eastAsia" w:cs="仿宋_GB2312"/>
          <w:szCs w:val="22"/>
        </w:rPr>
        <w:t>（5）城市公共充电桩与充电站选址应满足环境保护和消防安全的要求；</w:t>
      </w:r>
    </w:p>
    <w:p>
      <w:pPr>
        <w:ind w:firstLine="560"/>
        <w:rPr>
          <w:rFonts w:hint="eastAsia" w:cs="仿宋_GB2312"/>
          <w:szCs w:val="22"/>
        </w:rPr>
      </w:pPr>
      <w:r>
        <w:rPr>
          <w:rFonts w:hint="eastAsia" w:cs="仿宋_GB2312"/>
          <w:szCs w:val="22"/>
        </w:rPr>
        <w:t>（6）城市公共充电桩与充电站选址不宜设在多尘或有腐蚀性气体的场所，当无法远离时，不应设在污染源盛行风向的下风侧；</w:t>
      </w:r>
    </w:p>
    <w:p>
      <w:pPr>
        <w:ind w:firstLine="560"/>
        <w:rPr>
          <w:rFonts w:hint="eastAsia" w:cs="仿宋_GB2312"/>
          <w:szCs w:val="22"/>
        </w:rPr>
      </w:pPr>
      <w:r>
        <w:rPr>
          <w:rFonts w:hint="eastAsia" w:cs="仿宋_GB2312"/>
          <w:szCs w:val="22"/>
        </w:rPr>
        <w:t>（7）城市公共充电桩与充电站不应设在有剧烈振动或高温的场所；</w:t>
      </w:r>
    </w:p>
    <w:p>
      <w:pPr>
        <w:ind w:firstLine="560"/>
        <w:rPr>
          <w:rFonts w:hint="eastAsia" w:cs="仿宋_GB2312"/>
          <w:szCs w:val="22"/>
        </w:rPr>
      </w:pPr>
      <w:r>
        <w:rPr>
          <w:rFonts w:hint="eastAsia" w:cs="仿宋_GB2312"/>
          <w:szCs w:val="22"/>
        </w:rPr>
        <w:t>（8）城市充电桩服务半径应符合地方实际情况。</w:t>
      </w:r>
    </w:p>
    <w:p>
      <w:pPr>
        <w:pStyle w:val="47"/>
        <w:numPr>
          <w:ilvl w:val="0"/>
          <w:numId w:val="9"/>
        </w:numPr>
        <w:ind w:firstLineChars="0"/>
        <w:rPr>
          <w:rFonts w:hint="eastAsia" w:cs="仿宋_GB2312"/>
          <w:szCs w:val="22"/>
        </w:rPr>
      </w:pPr>
      <w:r>
        <w:rPr>
          <w:rFonts w:hint="eastAsia" w:cs="仿宋_GB2312"/>
          <w:szCs w:val="22"/>
        </w:rPr>
        <w:t>设置原则</w:t>
      </w:r>
    </w:p>
    <w:p>
      <w:pPr>
        <w:ind w:firstLine="560"/>
        <w:rPr>
          <w:rFonts w:hint="eastAsia" w:cs="仿宋_GB2312"/>
          <w:szCs w:val="22"/>
        </w:rPr>
      </w:pPr>
      <w:r>
        <w:rPr>
          <w:rFonts w:hint="eastAsia" w:cs="仿宋_GB2312"/>
          <w:szCs w:val="22"/>
        </w:rPr>
        <w:t>（1）大型公共建筑物配建停车场、社会公共停车场建设充电基础设施与预留建设安装条件的车位比例不低于10%，同时预留5%的建设安装条件，鼓励在此基础上增配充电设施。</w:t>
      </w:r>
    </w:p>
    <w:p>
      <w:pPr>
        <w:ind w:firstLine="560"/>
        <w:rPr>
          <w:rFonts w:hint="eastAsia" w:cs="仿宋_GB2312"/>
          <w:szCs w:val="22"/>
        </w:rPr>
      </w:pPr>
      <w:r>
        <w:rPr>
          <w:rFonts w:hint="eastAsia" w:cs="仿宋_GB2312"/>
          <w:szCs w:val="22"/>
        </w:rPr>
        <w:t>（2）鼓励交通枢纽、超市卖场、商务楼宇，党政机关、事业单位办公场所，园区、学校，公共停车场等建设充电设施，可以结合旧区改造、停车位改建、道路改建等实施。</w:t>
      </w:r>
    </w:p>
    <w:p>
      <w:pPr>
        <w:ind w:firstLine="560"/>
        <w:rPr>
          <w:rFonts w:hint="eastAsia" w:cs="仿宋_GB2312"/>
          <w:szCs w:val="22"/>
        </w:rPr>
      </w:pPr>
      <w:r>
        <w:rPr>
          <w:rFonts w:hint="eastAsia" w:cs="仿宋_GB2312"/>
          <w:szCs w:val="22"/>
        </w:rPr>
        <w:t>（</w:t>
      </w:r>
      <w:r>
        <w:rPr>
          <w:rFonts w:cs="仿宋_GB2312"/>
          <w:szCs w:val="22"/>
        </w:rPr>
        <w:t>3</w:t>
      </w:r>
      <w:r>
        <w:rPr>
          <w:rFonts w:hint="eastAsia" w:cs="仿宋_GB2312"/>
          <w:szCs w:val="22"/>
        </w:rPr>
        <w:t>）现状社会公共停车场，根据实际需求分阶段建设充电设施，到</w:t>
      </w:r>
      <w:r>
        <w:rPr>
          <w:rFonts w:cs="仿宋_GB2312"/>
          <w:szCs w:val="22"/>
        </w:rPr>
        <w:t>2030</w:t>
      </w:r>
      <w:r>
        <w:rPr>
          <w:rFonts w:hint="eastAsia" w:cs="仿宋_GB2312"/>
          <w:szCs w:val="22"/>
        </w:rPr>
        <w:t>年中心城区公共停车场按照总停车位数量</w:t>
      </w:r>
      <w:r>
        <w:rPr>
          <w:rFonts w:cs="仿宋_GB2312"/>
          <w:szCs w:val="22"/>
        </w:rPr>
        <w:t>10%</w:t>
      </w:r>
      <w:r>
        <w:rPr>
          <w:rFonts w:hint="eastAsia" w:cs="仿宋_GB2312"/>
          <w:szCs w:val="22"/>
        </w:rPr>
        <w:t>以上的比例配建公共充电设施及专用停车位。</w:t>
      </w:r>
    </w:p>
    <w:p>
      <w:pPr>
        <w:ind w:firstLine="560"/>
        <w:rPr>
          <w:rFonts w:hint="eastAsia" w:cs="仿宋_GB2312"/>
          <w:szCs w:val="22"/>
        </w:rPr>
      </w:pPr>
      <w:r>
        <w:rPr>
          <w:rFonts w:hint="eastAsia" w:cs="仿宋_GB2312"/>
          <w:szCs w:val="22"/>
        </w:rPr>
        <w:t>（</w:t>
      </w:r>
      <w:r>
        <w:rPr>
          <w:rFonts w:cs="仿宋_GB2312"/>
          <w:szCs w:val="22"/>
        </w:rPr>
        <w:t>4</w:t>
      </w:r>
      <w:r>
        <w:rPr>
          <w:rFonts w:hint="eastAsia" w:cs="仿宋_GB2312"/>
          <w:szCs w:val="22"/>
        </w:rPr>
        <w:t>）独立用地集中充换电站，为便于管理，避免充电车位被燃油汽车占用的情况发生，优先建设独立用地集中充换电站，充电站应具备相关供电、监控等配套设备。同时各集中充换电站需根据需要预留设计换电设备用地，原则上按照每</w:t>
      </w:r>
      <w:r>
        <w:rPr>
          <w:rFonts w:cs="仿宋_GB2312"/>
          <w:szCs w:val="22"/>
        </w:rPr>
        <w:t>2000</w:t>
      </w:r>
      <w:r>
        <w:rPr>
          <w:rFonts w:hint="eastAsia" w:cs="仿宋_GB2312"/>
          <w:szCs w:val="22"/>
        </w:rPr>
        <w:t>辆电动汽车配套建设一座公共充换电站。</w:t>
      </w:r>
    </w:p>
    <w:p>
      <w:pPr>
        <w:ind w:firstLine="560"/>
        <w:rPr>
          <w:rFonts w:hint="eastAsia" w:cs="仿宋_GB2312"/>
          <w:szCs w:val="22"/>
        </w:rPr>
      </w:pPr>
      <w:r>
        <w:rPr>
          <w:rFonts w:hint="eastAsia" w:cs="仿宋_GB2312"/>
          <w:szCs w:val="22"/>
        </w:rPr>
        <w:t>（</w:t>
      </w:r>
      <w:r>
        <w:rPr>
          <w:rFonts w:cs="仿宋_GB2312"/>
          <w:szCs w:val="22"/>
        </w:rPr>
        <w:t>5</w:t>
      </w:r>
      <w:r>
        <w:rPr>
          <w:rFonts w:hint="eastAsia" w:cs="仿宋_GB2312"/>
          <w:szCs w:val="22"/>
        </w:rPr>
        <w:t>）各景区配建停车场按照不低于景区应配套停车位数量</w:t>
      </w:r>
      <w:r>
        <w:rPr>
          <w:rFonts w:cs="仿宋_GB2312"/>
          <w:szCs w:val="22"/>
        </w:rPr>
        <w:t>8%</w:t>
      </w:r>
      <w:r>
        <w:rPr>
          <w:rFonts w:hint="eastAsia" w:cs="仿宋_GB2312"/>
          <w:szCs w:val="22"/>
        </w:rPr>
        <w:t>的比例配建充电设施。在建设阶段各景区可根据客流量情况分阶段实施充电设施建设。</w:t>
      </w:r>
    </w:p>
    <w:p>
      <w:pPr>
        <w:ind w:firstLine="560"/>
        <w:rPr>
          <w:rFonts w:hint="eastAsia" w:cs="仿宋_GB2312"/>
          <w:szCs w:val="22"/>
        </w:rPr>
      </w:pPr>
      <w:r>
        <w:rPr>
          <w:rFonts w:hint="eastAsia" w:cs="仿宋_GB2312"/>
          <w:szCs w:val="22"/>
        </w:rPr>
        <w:t>（</w:t>
      </w:r>
      <w:r>
        <w:rPr>
          <w:rFonts w:cs="仿宋_GB2312"/>
          <w:szCs w:val="22"/>
        </w:rPr>
        <w:t>6</w:t>
      </w:r>
      <w:r>
        <w:rPr>
          <w:rFonts w:hint="eastAsia" w:cs="仿宋_GB2312"/>
          <w:szCs w:val="22"/>
        </w:rPr>
        <w:t>）充电设施建设应符合国家和地方充电设施建设标准和设计规范。</w:t>
      </w:r>
    </w:p>
    <w:p>
      <w:pPr>
        <w:ind w:firstLine="560"/>
        <w:rPr>
          <w:rFonts w:hint="eastAsia" w:cs="仿宋_GB2312"/>
          <w:szCs w:val="22"/>
        </w:rPr>
      </w:pPr>
      <w:r>
        <w:rPr>
          <w:rFonts w:hint="eastAsia" w:cs="仿宋_GB2312"/>
          <w:szCs w:val="22"/>
        </w:rPr>
        <w:t>（</w:t>
      </w:r>
      <w:r>
        <w:rPr>
          <w:rFonts w:cs="仿宋_GB2312"/>
          <w:szCs w:val="22"/>
        </w:rPr>
        <w:t>7</w:t>
      </w:r>
      <w:r>
        <w:rPr>
          <w:rFonts w:hint="eastAsia" w:cs="仿宋_GB2312"/>
          <w:szCs w:val="22"/>
        </w:rPr>
        <w:t>）停车位及其充电设施建设不得影响消防车通行、登高作业和人员疏散逃生。充电设施安装基层应为不燃构件.</w:t>
      </w:r>
    </w:p>
    <w:p>
      <w:pPr>
        <w:pStyle w:val="3"/>
      </w:pPr>
      <w:bookmarkStart w:id="67" w:name="_Toc4854"/>
      <w:r>
        <w:rPr>
          <w:rFonts w:hint="eastAsia"/>
        </w:rPr>
        <w:t>专用充电设施选址原则及布局思路</w:t>
      </w:r>
      <w:bookmarkEnd w:id="67"/>
    </w:p>
    <w:p>
      <w:pPr>
        <w:spacing w:line="360" w:lineRule="auto"/>
        <w:ind w:firstLine="560" w:firstLineChars="200"/>
        <w:rPr>
          <w:rFonts w:hint="eastAsia" w:cs="仿宋_GB2312"/>
          <w:szCs w:val="22"/>
        </w:rPr>
      </w:pPr>
      <w:r>
        <w:rPr>
          <w:rFonts w:hint="eastAsia" w:cs="仿宋_GB2312"/>
          <w:szCs w:val="22"/>
        </w:rPr>
        <w:t>公交车、物流车等专用车辆具有同一车队、车辆数量较多、城市区域行驶、停车场地固定、行驶路线基本固定、行驶里程相对稳定以及充电功率较大等特征，适宜采用在其固定停车场所建设充电站。</w:t>
      </w:r>
    </w:p>
    <w:p>
      <w:pPr>
        <w:pStyle w:val="47"/>
        <w:numPr>
          <w:ilvl w:val="1"/>
          <w:numId w:val="6"/>
        </w:numPr>
        <w:spacing w:line="360" w:lineRule="auto"/>
        <w:ind w:left="0" w:firstLine="562"/>
        <w:rPr>
          <w:rFonts w:hint="eastAsia" w:cs="仿宋_GB2312"/>
          <w:b/>
          <w:bCs/>
          <w:szCs w:val="22"/>
        </w:rPr>
      </w:pPr>
      <w:r>
        <w:rPr>
          <w:rFonts w:cs="仿宋_GB2312"/>
          <w:b/>
          <w:bCs/>
          <w:szCs w:val="22"/>
        </w:rPr>
        <w:t>公交</w:t>
      </w:r>
      <w:r>
        <w:rPr>
          <w:rFonts w:hint="eastAsia" w:cs="仿宋_GB2312"/>
          <w:b/>
          <w:bCs/>
          <w:szCs w:val="22"/>
        </w:rPr>
        <w:t>车辆</w:t>
      </w:r>
      <w:r>
        <w:rPr>
          <w:rFonts w:cs="仿宋_GB2312"/>
          <w:b/>
          <w:bCs/>
          <w:szCs w:val="22"/>
        </w:rPr>
        <w:t>充电设施规划布局</w:t>
      </w:r>
    </w:p>
    <w:p>
      <w:pPr>
        <w:spacing w:line="360" w:lineRule="auto"/>
        <w:ind w:firstLine="560" w:firstLineChars="200"/>
        <w:rPr>
          <w:rFonts w:hint="eastAsia" w:cs="仿宋_GB2312"/>
          <w:szCs w:val="22"/>
        </w:rPr>
      </w:pPr>
      <w:r>
        <w:rPr>
          <w:rFonts w:hint="eastAsia" w:cs="仿宋_GB2312"/>
          <w:szCs w:val="22"/>
        </w:rPr>
        <w:t>公共交通车辆充电场景通常位于公交首末站或公交集中停放站点、或者客运站车辆停放站点上，部分公交车充电设备也会分布在车辆运营线路上。</w:t>
      </w:r>
    </w:p>
    <w:p>
      <w:pPr>
        <w:spacing w:line="360" w:lineRule="auto"/>
        <w:ind w:firstLine="560" w:firstLineChars="200"/>
        <w:rPr>
          <w:rFonts w:hint="eastAsia" w:cs="仿宋_GB2312"/>
          <w:szCs w:val="22"/>
        </w:rPr>
      </w:pPr>
      <w:r>
        <w:rPr>
          <w:rFonts w:hint="eastAsia" w:cs="仿宋_GB2312"/>
          <w:szCs w:val="22"/>
        </w:rPr>
        <w:t>公交充电站通常采用群管群控充电方式，同时满足夜间充电（多辆车小功率充电）和白天补电（少量车大功率补电）需求，每辆车配置一台充电终端，所有终端共用总充电功率。一般随公交场站一同建设或在公交换乘站点建设，充电设备主要是直流设备。</w:t>
      </w:r>
    </w:p>
    <w:p>
      <w:pPr>
        <w:spacing w:line="360" w:lineRule="auto"/>
        <w:ind w:firstLine="560" w:firstLineChars="200"/>
        <w:rPr>
          <w:rFonts w:hint="eastAsia" w:cs="仿宋_GB2312"/>
          <w:szCs w:val="22"/>
        </w:rPr>
      </w:pPr>
      <w:r>
        <w:rPr>
          <w:rFonts w:hint="eastAsia" w:cs="仿宋_GB2312"/>
          <w:szCs w:val="22"/>
        </w:rPr>
        <w:t>未来随着纯电动公交车的大规模普及应用，其充电负荷将成为一种电力负荷，对电网原负荷带来一定影响。因此，在建设公交充电设施时，应避免充电设施过于集中，由于公交车运营时间、路线较规律，可以在停车场、公交总站设置充电设施进行充电或者换电。本着节省投资、合理规划设备、提高能源利用率、减少对电网影响的原则，合理对公交充电设施进行规划布局。远期根据企业需求可对充电设施进行增设以满足远期发展需求。</w:t>
      </w:r>
    </w:p>
    <w:p>
      <w:pPr>
        <w:pStyle w:val="47"/>
        <w:numPr>
          <w:ilvl w:val="1"/>
          <w:numId w:val="6"/>
        </w:numPr>
        <w:spacing w:line="360" w:lineRule="auto"/>
        <w:ind w:left="0" w:firstLine="562"/>
        <w:rPr>
          <w:rFonts w:hint="eastAsia" w:cs="仿宋_GB2312"/>
          <w:b/>
          <w:bCs/>
          <w:szCs w:val="22"/>
        </w:rPr>
      </w:pPr>
      <w:r>
        <w:rPr>
          <w:rFonts w:cs="仿宋_GB2312"/>
          <w:b/>
          <w:bCs/>
          <w:szCs w:val="22"/>
        </w:rPr>
        <w:t>物流</w:t>
      </w:r>
      <w:r>
        <w:rPr>
          <w:rFonts w:hint="eastAsia" w:cs="仿宋_GB2312"/>
          <w:b/>
          <w:bCs/>
          <w:szCs w:val="22"/>
        </w:rPr>
        <w:t>车辆</w:t>
      </w:r>
      <w:r>
        <w:rPr>
          <w:rFonts w:cs="仿宋_GB2312"/>
          <w:b/>
          <w:bCs/>
          <w:szCs w:val="22"/>
        </w:rPr>
        <w:t>充电设施规划布局</w:t>
      </w:r>
    </w:p>
    <w:p>
      <w:pPr>
        <w:spacing w:line="360" w:lineRule="auto"/>
        <w:ind w:firstLine="560" w:firstLineChars="200"/>
        <w:rPr>
          <w:rFonts w:hint="eastAsia" w:cs="仿宋_GB2312"/>
          <w:szCs w:val="22"/>
        </w:rPr>
      </w:pPr>
      <w:r>
        <w:rPr>
          <w:rFonts w:hint="eastAsia" w:cs="仿宋_GB2312"/>
          <w:szCs w:val="22"/>
        </w:rPr>
        <w:t>规划思路上结合路权、物流集散地、安全充电的要求，引导打造“集中充电为主、沿途补电为辅”的充电场景，在城区外围，交通相对便利的地段，集中建设、集中管理，同时按照城配路线，建设（或公快复用）物流补电站，打造物流专用充电路线，逐步形成专属网络。</w:t>
      </w:r>
    </w:p>
    <w:p>
      <w:pPr>
        <w:spacing w:line="360" w:lineRule="auto"/>
        <w:ind w:firstLine="560" w:firstLineChars="200"/>
        <w:rPr>
          <w:rFonts w:hint="eastAsia" w:cs="仿宋_GB2312"/>
          <w:szCs w:val="22"/>
        </w:rPr>
      </w:pPr>
      <w:r>
        <w:rPr>
          <w:rFonts w:hint="eastAsia" w:cs="仿宋_GB2312"/>
          <w:szCs w:val="22"/>
        </w:rPr>
        <w:t>目前货运电动汽车普及率较低，在当前阶段，打造物流专用充电路线较为困难，也是不科学不可取的，规划期内物流充电设施规划应该是可控制性、可操作性和一定弹性的有机结合。本规划近期暂未规划物流货运充电设施，远期根据企业需求可对充电设施进行增设以满足远期发展需求。</w:t>
      </w:r>
    </w:p>
    <w:p>
      <w:pPr>
        <w:pStyle w:val="47"/>
        <w:numPr>
          <w:ilvl w:val="1"/>
          <w:numId w:val="6"/>
        </w:numPr>
        <w:spacing w:line="360" w:lineRule="auto"/>
        <w:ind w:left="0" w:firstLine="562"/>
        <w:rPr>
          <w:rFonts w:hint="eastAsia" w:cs="仿宋_GB2312"/>
          <w:b/>
          <w:bCs/>
          <w:szCs w:val="22"/>
        </w:rPr>
      </w:pPr>
      <w:r>
        <w:rPr>
          <w:rFonts w:hint="eastAsia" w:cs="仿宋_GB2312"/>
          <w:b/>
          <w:bCs/>
          <w:szCs w:val="22"/>
        </w:rPr>
        <w:t>环卫车辆</w:t>
      </w:r>
      <w:r>
        <w:rPr>
          <w:rFonts w:cs="仿宋_GB2312"/>
          <w:b/>
          <w:bCs/>
          <w:szCs w:val="22"/>
        </w:rPr>
        <w:t>充电设施规划布局</w:t>
      </w:r>
    </w:p>
    <w:p>
      <w:pPr>
        <w:spacing w:line="360" w:lineRule="auto"/>
        <w:ind w:firstLine="560" w:firstLineChars="200"/>
        <w:rPr>
          <w:rFonts w:hint="eastAsia" w:cs="仿宋_GB2312"/>
          <w:szCs w:val="22"/>
        </w:rPr>
      </w:pPr>
      <w:r>
        <w:rPr>
          <w:rFonts w:hint="eastAsia" w:cs="仿宋_GB2312"/>
          <w:szCs w:val="22"/>
        </w:rPr>
        <w:t>桓仁满族自治县为了有效提升城市管理水平，全面改善市容环境卫生，引入供销环境技术有限公司作为第三方公司，负责桓仁满族自治县城区的环境卫生作业服务，目前已开展城乡环卫一体化交接划转工作。近期暂无购置电动环卫车计划，因此近期暂未规划充电设施，远期环卫车辆充电设施规划以运营方自有场地为基础建设，满足自有电动车辆的充电需求，无自有场地区域，在环卫车辆休业期间利用常规充电桩对其进行充电，故不单独配建专用充电站。</w:t>
      </w:r>
    </w:p>
    <w:p>
      <w:pPr>
        <w:pStyle w:val="47"/>
        <w:numPr>
          <w:ilvl w:val="1"/>
          <w:numId w:val="6"/>
        </w:numPr>
        <w:spacing w:line="360" w:lineRule="auto"/>
        <w:ind w:left="0" w:firstLine="562"/>
        <w:rPr>
          <w:rFonts w:hint="eastAsia" w:cs="仿宋_GB2312"/>
          <w:b/>
          <w:bCs/>
          <w:szCs w:val="22"/>
        </w:rPr>
      </w:pPr>
      <w:r>
        <w:rPr>
          <w:rFonts w:hint="eastAsia" w:cs="仿宋_GB2312"/>
          <w:b/>
          <w:bCs/>
          <w:szCs w:val="22"/>
        </w:rPr>
        <w:t>政府机关、企事业单位、工业园区等</w:t>
      </w:r>
      <w:r>
        <w:rPr>
          <w:rFonts w:cs="仿宋_GB2312"/>
          <w:b/>
          <w:bCs/>
          <w:szCs w:val="22"/>
        </w:rPr>
        <w:t>设施规划布局</w:t>
      </w:r>
    </w:p>
    <w:p>
      <w:pPr>
        <w:spacing w:line="360" w:lineRule="auto"/>
        <w:ind w:firstLine="560" w:firstLineChars="200"/>
        <w:rPr>
          <w:rFonts w:hint="eastAsia" w:cs="仿宋_GB2312"/>
          <w:szCs w:val="22"/>
        </w:rPr>
      </w:pPr>
      <w:r>
        <w:rPr>
          <w:rFonts w:hint="eastAsia" w:cs="仿宋_GB2312"/>
          <w:szCs w:val="22"/>
        </w:rPr>
        <w:t>政府机关、企事业单位、工业园区等内部停车场作为电动汽车推广的引领者，先行配建充电设施，在自有停车场库按有效车位10%的比例配建专用常规充电桩，满足公务用车和私家车充电需要。单位内部公用充电设施建设应当遵循“经济实用、快慢互济”的原则，优先建设交流充电设施，根据实际需求合理配建一定比例的直流快充设施。单位、园区既有内部公用充电设施应当根据本单位实际情况，鼓励内部设施对外开放，提高使用效率。</w:t>
      </w:r>
    </w:p>
    <w:p>
      <w:pPr>
        <w:pStyle w:val="3"/>
      </w:pPr>
      <w:bookmarkStart w:id="68" w:name="_Toc28924"/>
      <w:r>
        <w:rPr>
          <w:color w:val="000000" w:themeColor="text1"/>
          <w14:textFill>
            <w14:solidFill>
              <w14:schemeClr w14:val="tx1"/>
            </w14:solidFill>
          </w14:textFill>
        </w:rPr>
        <w:t>规划目标</w:t>
      </w:r>
      <w:bookmarkEnd w:id="66"/>
      <w:bookmarkEnd w:id="68"/>
    </w:p>
    <w:p>
      <w:pPr>
        <w:spacing w:line="360" w:lineRule="auto"/>
        <w:ind w:firstLine="561"/>
        <w:rPr>
          <w:rFonts w:hint="eastAsia" w:cs="仿宋_GB2312"/>
          <w:szCs w:val="22"/>
        </w:rPr>
      </w:pPr>
      <w:bookmarkStart w:id="69" w:name="_Toc94186591"/>
      <w:r>
        <w:rPr>
          <w:rFonts w:hint="eastAsia" w:cs="仿宋_GB2312"/>
          <w:szCs w:val="22"/>
        </w:rPr>
        <w:t>严格遵循国家、省市发展规划，结合自身现状及发展条件，因地制宜，因势利导，推动本区电动汽车充电基础设施发展。</w:t>
      </w:r>
    </w:p>
    <w:p>
      <w:pPr>
        <w:spacing w:line="360" w:lineRule="auto"/>
        <w:ind w:firstLine="561"/>
        <w:rPr>
          <w:rFonts w:hint="eastAsia" w:cs="仿宋_GB2312"/>
          <w:szCs w:val="22"/>
        </w:rPr>
      </w:pPr>
      <w:r>
        <w:rPr>
          <w:rFonts w:hint="eastAsia" w:cs="仿宋_GB2312"/>
          <w:szCs w:val="22"/>
        </w:rPr>
        <w:t>至202</w:t>
      </w:r>
      <w:r>
        <w:rPr>
          <w:rFonts w:cs="仿宋_GB2312"/>
          <w:szCs w:val="22"/>
        </w:rPr>
        <w:t>8</w:t>
      </w:r>
      <w:r>
        <w:rPr>
          <w:rFonts w:hint="eastAsia" w:cs="仿宋_GB2312"/>
          <w:szCs w:val="22"/>
        </w:rPr>
        <w:t>年，完成重要交通枢纽站、重点区域商业综合体、社会公共停车场、加油站等场所的公共充电设施布局。全县充电服务半径不超过</w:t>
      </w:r>
      <w:r>
        <w:rPr>
          <w:rFonts w:cs="仿宋_GB2312"/>
          <w:szCs w:val="22"/>
        </w:rPr>
        <w:t>7</w:t>
      </w:r>
      <w:r>
        <w:rPr>
          <w:rFonts w:hint="eastAsia" w:cs="仿宋_GB2312"/>
          <w:szCs w:val="22"/>
        </w:rPr>
        <w:t>公里，建成“适度超前、车桩相宜、智能高效”的充电基础设施体系，确保满足新能源电动汽车充电服务需求。</w:t>
      </w:r>
    </w:p>
    <w:p>
      <w:pPr>
        <w:spacing w:line="360" w:lineRule="auto"/>
        <w:ind w:firstLine="561"/>
        <w:rPr>
          <w:rFonts w:hint="eastAsia"/>
        </w:rPr>
      </w:pPr>
      <w:r>
        <w:rPr>
          <w:rFonts w:hint="eastAsia" w:cs="仿宋_GB2312"/>
          <w:szCs w:val="22"/>
        </w:rPr>
        <w:t>至2035年：全县基本建成充电服务半径不超过</w:t>
      </w:r>
      <w:r>
        <w:rPr>
          <w:rFonts w:cs="仿宋_GB2312"/>
          <w:szCs w:val="22"/>
        </w:rPr>
        <w:t>4</w:t>
      </w:r>
      <w:r>
        <w:rPr>
          <w:rFonts w:hint="eastAsia" w:cs="仿宋_GB2312"/>
          <w:szCs w:val="22"/>
        </w:rPr>
        <w:t>公里，人口密集地区服务半径不超过</w:t>
      </w:r>
      <w:r>
        <w:rPr>
          <w:rFonts w:cs="仿宋_GB2312"/>
          <w:szCs w:val="22"/>
        </w:rPr>
        <w:t>1</w:t>
      </w:r>
      <w:r>
        <w:rPr>
          <w:rFonts w:hint="eastAsia" w:cs="仿宋_GB2312"/>
          <w:szCs w:val="22"/>
        </w:rPr>
        <w:t>公里。</w:t>
      </w:r>
      <w:r>
        <w:br w:type="page"/>
      </w:r>
    </w:p>
    <w:p>
      <w:pPr>
        <w:pStyle w:val="2"/>
      </w:pPr>
      <w:bookmarkStart w:id="70" w:name="_Toc29334"/>
      <w:r>
        <w:t>选址布局</w:t>
      </w:r>
      <w:bookmarkEnd w:id="69"/>
      <w:bookmarkEnd w:id="70"/>
    </w:p>
    <w:p>
      <w:pPr>
        <w:pStyle w:val="3"/>
      </w:pPr>
      <w:bookmarkStart w:id="71" w:name="_Toc29817"/>
      <w:bookmarkStart w:id="72" w:name="_Toc94186592"/>
      <w:r>
        <w:rPr>
          <w:color w:val="000000" w:themeColor="text1"/>
          <w14:textFill>
            <w14:solidFill>
              <w14:schemeClr w14:val="tx1"/>
            </w14:solidFill>
          </w14:textFill>
        </w:rPr>
        <w:t>选址布局原则</w:t>
      </w:r>
      <w:bookmarkEnd w:id="71"/>
      <w:bookmarkEnd w:id="72"/>
    </w:p>
    <w:p>
      <w:pPr>
        <w:pStyle w:val="47"/>
        <w:numPr>
          <w:ilvl w:val="1"/>
          <w:numId w:val="5"/>
        </w:numPr>
        <w:spacing w:line="360" w:lineRule="auto"/>
        <w:ind w:left="0" w:firstLine="560"/>
        <w:rPr>
          <w:rFonts w:hint="eastAsia" w:cs="仿宋_GB2312"/>
          <w:szCs w:val="22"/>
        </w:rPr>
      </w:pPr>
      <w:bookmarkStart w:id="73" w:name="_Toc94186594"/>
      <w:r>
        <w:rPr>
          <w:rFonts w:cs="仿宋_GB2312"/>
          <w:szCs w:val="22"/>
        </w:rPr>
        <w:t>站点选址原则</w:t>
      </w:r>
    </w:p>
    <w:p>
      <w:pPr>
        <w:spacing w:line="360" w:lineRule="auto"/>
        <w:ind w:firstLine="560" w:firstLineChars="200"/>
        <w:rPr>
          <w:rFonts w:hint="eastAsia" w:cs="仿宋_GB2312"/>
          <w:szCs w:val="22"/>
        </w:rPr>
      </w:pPr>
      <w:r>
        <w:rPr>
          <w:rFonts w:hint="eastAsia" w:cs="仿宋_GB2312"/>
          <w:szCs w:val="22"/>
        </w:rPr>
        <w:t>（1）</w:t>
      </w:r>
      <w:r>
        <w:rPr>
          <w:rFonts w:cs="仿宋_GB2312"/>
          <w:szCs w:val="22"/>
        </w:rPr>
        <w:t>充分利用各类建筑物配建停车场、</w:t>
      </w:r>
      <w:r>
        <w:rPr>
          <w:rFonts w:hint="eastAsia" w:cs="仿宋_GB2312"/>
          <w:szCs w:val="22"/>
        </w:rPr>
        <w:t>社会</w:t>
      </w:r>
      <w:r>
        <w:rPr>
          <w:rFonts w:cs="仿宋_GB2312"/>
          <w:szCs w:val="22"/>
        </w:rPr>
        <w:t>公共停车场、路边停车位资源，将其作为主要的可建桩资源；当可建桩资源不足时，可适当考虑可作为独立用地充电站建设的土地资源。</w:t>
      </w:r>
    </w:p>
    <w:p>
      <w:pPr>
        <w:spacing w:line="360" w:lineRule="auto"/>
        <w:ind w:firstLine="560" w:firstLineChars="200"/>
        <w:rPr>
          <w:rFonts w:hint="eastAsia" w:cs="仿宋_GB2312"/>
          <w:szCs w:val="22"/>
        </w:rPr>
      </w:pPr>
      <w:r>
        <w:rPr>
          <w:rFonts w:hint="eastAsia" w:cs="仿宋_GB2312"/>
          <w:szCs w:val="22"/>
        </w:rPr>
        <w:t>（</w:t>
      </w:r>
      <w:r>
        <w:rPr>
          <w:rFonts w:cs="仿宋_GB2312"/>
          <w:szCs w:val="22"/>
        </w:rPr>
        <w:t>2</w:t>
      </w:r>
      <w:r>
        <w:rPr>
          <w:rFonts w:hint="eastAsia" w:cs="仿宋_GB2312"/>
          <w:szCs w:val="22"/>
        </w:rPr>
        <w:t>）</w:t>
      </w:r>
      <w:r>
        <w:rPr>
          <w:rFonts w:cs="仿宋_GB2312"/>
          <w:szCs w:val="22"/>
        </w:rPr>
        <w:t>公共充电设施应结合车流客流特征因素，充分利用现状及规划停车场资源选址布局。</w:t>
      </w:r>
    </w:p>
    <w:p>
      <w:pPr>
        <w:spacing w:line="360" w:lineRule="auto"/>
        <w:ind w:firstLine="560" w:firstLineChars="200"/>
        <w:rPr>
          <w:rFonts w:hint="eastAsia" w:cs="仿宋_GB2312"/>
          <w:szCs w:val="22"/>
        </w:rPr>
      </w:pPr>
      <w:r>
        <w:rPr>
          <w:rFonts w:hint="eastAsia" w:cs="仿宋_GB2312"/>
          <w:szCs w:val="22"/>
        </w:rPr>
        <w:t>（</w:t>
      </w:r>
      <w:r>
        <w:rPr>
          <w:rFonts w:cs="仿宋_GB2312"/>
          <w:szCs w:val="22"/>
        </w:rPr>
        <w:t>3</w:t>
      </w:r>
      <w:r>
        <w:rPr>
          <w:rFonts w:hint="eastAsia" w:cs="仿宋_GB2312"/>
          <w:szCs w:val="22"/>
        </w:rPr>
        <w:t>）</w:t>
      </w:r>
      <w:r>
        <w:rPr>
          <w:rFonts w:cs="仿宋_GB2312"/>
          <w:szCs w:val="22"/>
        </w:rPr>
        <w:t>公共充电设施选址应考虑场地产权方的建设意愿。</w:t>
      </w:r>
    </w:p>
    <w:p>
      <w:pPr>
        <w:spacing w:line="360" w:lineRule="auto"/>
        <w:ind w:firstLine="560" w:firstLineChars="200"/>
        <w:rPr>
          <w:rFonts w:hint="eastAsia" w:cs="仿宋_GB2312"/>
          <w:szCs w:val="22"/>
        </w:rPr>
      </w:pPr>
      <w:r>
        <w:rPr>
          <w:rFonts w:hint="eastAsia" w:cs="仿宋_GB2312"/>
          <w:szCs w:val="22"/>
        </w:rPr>
        <w:t>（</w:t>
      </w:r>
      <w:r>
        <w:rPr>
          <w:rFonts w:cs="仿宋_GB2312"/>
          <w:szCs w:val="22"/>
        </w:rPr>
        <w:t>4</w:t>
      </w:r>
      <w:r>
        <w:rPr>
          <w:rFonts w:hint="eastAsia" w:cs="仿宋_GB2312"/>
          <w:szCs w:val="22"/>
        </w:rPr>
        <w:t>）</w:t>
      </w:r>
      <w:r>
        <w:rPr>
          <w:rFonts w:cs="仿宋_GB2312"/>
          <w:szCs w:val="22"/>
        </w:rPr>
        <w:t>公共充电设施选址应考虑现状与规划期内的电源条件，包括电源点位置、线路通道、电网裕度等。</w:t>
      </w:r>
    </w:p>
    <w:p>
      <w:pPr>
        <w:spacing w:line="360" w:lineRule="auto"/>
        <w:ind w:firstLine="560" w:firstLineChars="200"/>
        <w:rPr>
          <w:rFonts w:hint="eastAsia" w:cs="仿宋_GB2312"/>
          <w:szCs w:val="22"/>
        </w:rPr>
      </w:pPr>
      <w:r>
        <w:rPr>
          <w:rFonts w:hint="eastAsia" w:cs="仿宋_GB2312"/>
          <w:szCs w:val="22"/>
        </w:rPr>
        <w:t>（</w:t>
      </w:r>
      <w:r>
        <w:rPr>
          <w:rFonts w:cs="仿宋_GB2312"/>
          <w:szCs w:val="22"/>
        </w:rPr>
        <w:t>5</w:t>
      </w:r>
      <w:r>
        <w:rPr>
          <w:rFonts w:hint="eastAsia" w:cs="仿宋_GB2312"/>
          <w:szCs w:val="22"/>
        </w:rPr>
        <w:t>）</w:t>
      </w:r>
      <w:r>
        <w:rPr>
          <w:rFonts w:cs="仿宋_GB2312"/>
          <w:szCs w:val="22"/>
        </w:rPr>
        <w:t>公共充电设施选址应尽量减少对交通运输的影响，宜靠近城市道路，不宜选在城市干道的交叉路口和交通繁忙路段附近。</w:t>
      </w:r>
    </w:p>
    <w:p>
      <w:pPr>
        <w:spacing w:line="360" w:lineRule="auto"/>
        <w:ind w:firstLine="560" w:firstLineChars="200"/>
        <w:rPr>
          <w:rFonts w:hint="eastAsia" w:cs="仿宋_GB2312"/>
          <w:szCs w:val="22"/>
        </w:rPr>
      </w:pPr>
      <w:r>
        <w:rPr>
          <w:rFonts w:hint="eastAsia" w:cs="仿宋_GB2312"/>
          <w:szCs w:val="22"/>
        </w:rPr>
        <w:t>（</w:t>
      </w:r>
      <w:r>
        <w:rPr>
          <w:rFonts w:cs="仿宋_GB2312"/>
          <w:szCs w:val="22"/>
        </w:rPr>
        <w:t>6</w:t>
      </w:r>
      <w:r>
        <w:rPr>
          <w:rFonts w:hint="eastAsia" w:cs="仿宋_GB2312"/>
          <w:szCs w:val="22"/>
        </w:rPr>
        <w:t>）</w:t>
      </w:r>
      <w:r>
        <w:rPr>
          <w:rFonts w:cs="仿宋_GB2312"/>
          <w:szCs w:val="22"/>
        </w:rPr>
        <w:t>公共充电设施选址应满足便利性、经济性、安全性等要求。</w:t>
      </w:r>
    </w:p>
    <w:p>
      <w:pPr>
        <w:spacing w:line="360" w:lineRule="auto"/>
        <w:ind w:firstLine="560" w:firstLineChars="200"/>
        <w:rPr>
          <w:rFonts w:hint="eastAsia" w:cs="仿宋_GB2312"/>
          <w:szCs w:val="22"/>
        </w:rPr>
      </w:pPr>
      <w:r>
        <w:rPr>
          <w:rFonts w:hint="eastAsia" w:cs="仿宋_GB2312"/>
          <w:szCs w:val="22"/>
        </w:rPr>
        <w:t>（</w:t>
      </w:r>
      <w:r>
        <w:rPr>
          <w:rFonts w:cs="仿宋_GB2312"/>
          <w:szCs w:val="22"/>
        </w:rPr>
        <w:t>7</w:t>
      </w:r>
      <w:r>
        <w:rPr>
          <w:rFonts w:hint="eastAsia" w:cs="仿宋_GB2312"/>
          <w:szCs w:val="22"/>
        </w:rPr>
        <w:t>）</w:t>
      </w:r>
      <w:r>
        <w:rPr>
          <w:rFonts w:cs="仿宋_GB2312"/>
          <w:szCs w:val="22"/>
        </w:rPr>
        <w:t>公共充电设施选址应满足消防安全的要求。</w:t>
      </w:r>
    </w:p>
    <w:p>
      <w:pPr>
        <w:pStyle w:val="47"/>
        <w:numPr>
          <w:ilvl w:val="1"/>
          <w:numId w:val="5"/>
        </w:numPr>
        <w:spacing w:line="360" w:lineRule="auto"/>
        <w:ind w:left="0" w:firstLine="560"/>
        <w:rPr>
          <w:rFonts w:hint="eastAsia" w:cs="仿宋_GB2312"/>
          <w:szCs w:val="22"/>
        </w:rPr>
      </w:pPr>
      <w:r>
        <w:rPr>
          <w:rFonts w:cs="仿宋_GB2312"/>
          <w:szCs w:val="22"/>
        </w:rPr>
        <w:t>空间布局原则</w:t>
      </w:r>
    </w:p>
    <w:p>
      <w:pPr>
        <w:spacing w:line="360" w:lineRule="auto"/>
        <w:ind w:firstLine="560" w:firstLineChars="200"/>
        <w:rPr>
          <w:rFonts w:hint="eastAsia" w:cs="仿宋_GB2312"/>
          <w:szCs w:val="22"/>
        </w:rPr>
      </w:pPr>
      <w:r>
        <w:rPr>
          <w:rFonts w:hint="eastAsia" w:cs="仿宋_GB2312"/>
          <w:szCs w:val="22"/>
        </w:rPr>
        <w:t>（1）</w:t>
      </w:r>
      <w:r>
        <w:rPr>
          <w:rFonts w:cs="仿宋_GB2312"/>
          <w:szCs w:val="22"/>
        </w:rPr>
        <w:t>城市中心块区（街道及中心城镇）应结合充电需求、块区功能定位及特点，合理设置充电服务半径目标。</w:t>
      </w:r>
    </w:p>
    <w:p>
      <w:pPr>
        <w:spacing w:line="360" w:lineRule="auto"/>
        <w:ind w:firstLine="560" w:firstLineChars="200"/>
        <w:rPr>
          <w:rFonts w:hint="eastAsia" w:cs="仿宋_GB2312"/>
          <w:szCs w:val="22"/>
        </w:rPr>
      </w:pPr>
      <w:r>
        <w:rPr>
          <w:rFonts w:hint="eastAsia" w:cs="仿宋_GB2312"/>
          <w:szCs w:val="22"/>
        </w:rPr>
        <w:t>（2）</w:t>
      </w:r>
      <w:r>
        <w:rPr>
          <w:rFonts w:cs="仿宋_GB2312"/>
          <w:szCs w:val="22"/>
        </w:rPr>
        <w:t>公共充电设施空间布局宜按照“点、线、面”三个层次开展。其中：</w:t>
      </w:r>
    </w:p>
    <w:p>
      <w:pPr>
        <w:spacing w:line="360" w:lineRule="auto"/>
        <w:ind w:firstLine="560" w:firstLineChars="200"/>
        <w:rPr>
          <w:rFonts w:hint="eastAsia" w:cs="仿宋_GB2312"/>
          <w:szCs w:val="22"/>
        </w:rPr>
      </w:pPr>
      <w:r>
        <w:rPr>
          <w:rFonts w:hint="eastAsia" w:cs="仿宋_GB2312"/>
          <w:szCs w:val="22"/>
        </w:rPr>
        <w:t>a</w:t>
      </w:r>
      <w:r>
        <w:rPr>
          <w:rFonts w:cs="仿宋_GB2312"/>
          <w:szCs w:val="22"/>
        </w:rPr>
        <w:t>.“点”上加强，交通枢纽、商业中心、大型综合体、旅游景点、文体设施等交通集散点宜结合停车场资源，按照“一点一站”的原则布局；</w:t>
      </w:r>
    </w:p>
    <w:p>
      <w:pPr>
        <w:spacing w:line="360" w:lineRule="auto"/>
        <w:ind w:firstLine="560" w:firstLineChars="200"/>
        <w:rPr>
          <w:rFonts w:hint="eastAsia" w:cs="仿宋_GB2312"/>
          <w:szCs w:val="22"/>
        </w:rPr>
      </w:pPr>
      <w:r>
        <w:rPr>
          <w:rFonts w:hint="eastAsia" w:cs="仿宋_GB2312"/>
          <w:szCs w:val="22"/>
        </w:rPr>
        <w:t>b</w:t>
      </w:r>
      <w:r>
        <w:rPr>
          <w:rFonts w:cs="仿宋_GB2312"/>
          <w:szCs w:val="22"/>
        </w:rPr>
        <w:t>.“线”上连通，主要结合规划和现状的城市主干道（含国道、省道等）周边停车场进行布局；</w:t>
      </w:r>
    </w:p>
    <w:p>
      <w:pPr>
        <w:spacing w:line="360" w:lineRule="auto"/>
        <w:ind w:firstLine="560" w:firstLineChars="200"/>
        <w:rPr>
          <w:rFonts w:hint="eastAsia" w:cs="仿宋_GB2312"/>
          <w:szCs w:val="22"/>
        </w:rPr>
      </w:pPr>
      <w:r>
        <w:rPr>
          <w:rFonts w:hint="eastAsia" w:cs="仿宋_GB2312"/>
          <w:szCs w:val="22"/>
        </w:rPr>
        <w:t>c</w:t>
      </w:r>
      <w:r>
        <w:rPr>
          <w:rFonts w:cs="仿宋_GB2312"/>
          <w:szCs w:val="22"/>
        </w:rPr>
        <w:t>.“面”上覆盖，主要按照服务半径要求合理布局，满足规划区基本充电需求。</w:t>
      </w:r>
    </w:p>
    <w:p>
      <w:pPr>
        <w:spacing w:line="360" w:lineRule="auto"/>
        <w:ind w:firstLine="560" w:firstLineChars="200"/>
        <w:rPr>
          <w:rFonts w:hint="eastAsia" w:cs="仿宋_GB2312"/>
          <w:szCs w:val="22"/>
        </w:rPr>
      </w:pPr>
      <w:r>
        <w:rPr>
          <w:rFonts w:hint="eastAsia" w:cs="仿宋_GB2312"/>
          <w:szCs w:val="22"/>
        </w:rPr>
        <w:t>（3）</w:t>
      </w:r>
      <w:r>
        <w:rPr>
          <w:rFonts w:cs="仿宋_GB2312"/>
          <w:szCs w:val="22"/>
        </w:rPr>
        <w:t>对于地理位置较近的多个公共充电设施站点，可合并为一个项目，确定项目的建设总规模，不再细分至各站点。</w:t>
      </w:r>
    </w:p>
    <w:p>
      <w:pPr>
        <w:spacing w:line="360" w:lineRule="auto"/>
        <w:ind w:firstLine="560" w:firstLineChars="200"/>
        <w:rPr>
          <w:rFonts w:hint="eastAsia" w:cs="仿宋_GB2312"/>
          <w:szCs w:val="22"/>
        </w:rPr>
      </w:pPr>
      <w:r>
        <w:rPr>
          <w:rFonts w:hint="eastAsia" w:cs="仿宋_GB2312"/>
          <w:szCs w:val="22"/>
        </w:rPr>
        <w:t>（4）</w:t>
      </w:r>
      <w:r>
        <w:rPr>
          <w:rFonts w:cs="仿宋_GB2312"/>
          <w:szCs w:val="22"/>
        </w:rPr>
        <w:t>公共充电设施布局应结合政府政策、城市定位、充电需求、市场环境、土地资源等因素，以快充为主，根据场地周边业态、停车场资源、电网容量、用户出行及停车特性，合理配置站点内充电桩设备类型及数量。</w:t>
      </w:r>
    </w:p>
    <w:p>
      <w:pPr>
        <w:pStyle w:val="47"/>
        <w:numPr>
          <w:ilvl w:val="1"/>
          <w:numId w:val="5"/>
        </w:numPr>
        <w:spacing w:line="360" w:lineRule="auto"/>
        <w:ind w:left="0" w:firstLine="560"/>
        <w:rPr>
          <w:rFonts w:hint="eastAsia" w:cs="仿宋_GB2312"/>
          <w:szCs w:val="22"/>
        </w:rPr>
      </w:pPr>
      <w:r>
        <w:rPr>
          <w:rFonts w:cs="仿宋_GB2312"/>
          <w:szCs w:val="22"/>
        </w:rPr>
        <w:t>时序安排原则</w:t>
      </w:r>
    </w:p>
    <w:p>
      <w:pPr>
        <w:spacing w:line="360" w:lineRule="auto"/>
        <w:ind w:firstLine="560" w:firstLineChars="200"/>
        <w:rPr>
          <w:rFonts w:hint="eastAsia" w:cs="仿宋_GB2312"/>
          <w:szCs w:val="22"/>
        </w:rPr>
      </w:pPr>
      <w:r>
        <w:rPr>
          <w:rFonts w:hint="eastAsia" w:cs="仿宋_GB2312"/>
          <w:szCs w:val="22"/>
        </w:rPr>
        <w:t>（1）</w:t>
      </w:r>
      <w:r>
        <w:rPr>
          <w:rFonts w:cs="仿宋_GB2312"/>
          <w:szCs w:val="22"/>
        </w:rPr>
        <w:t>充电设施项目建设时序安排应考虑电动汽车的逐年发展情况，分析公共充电需求的逐年增长情况。</w:t>
      </w:r>
    </w:p>
    <w:p>
      <w:pPr>
        <w:spacing w:line="360" w:lineRule="auto"/>
        <w:ind w:firstLine="560" w:firstLineChars="200"/>
        <w:rPr>
          <w:rFonts w:hint="eastAsia" w:cs="仿宋_GB2312"/>
          <w:szCs w:val="22"/>
        </w:rPr>
      </w:pPr>
      <w:r>
        <w:rPr>
          <w:rFonts w:hint="eastAsia" w:cs="仿宋_GB2312"/>
          <w:szCs w:val="22"/>
        </w:rPr>
        <w:t>（2）</w:t>
      </w:r>
      <w:r>
        <w:rPr>
          <w:rFonts w:cs="仿宋_GB2312"/>
          <w:szCs w:val="22"/>
        </w:rPr>
        <w:t>充电设施项目建设时序安排应实现各区域均衡发展。</w:t>
      </w:r>
    </w:p>
    <w:p>
      <w:pPr>
        <w:spacing w:line="360" w:lineRule="auto"/>
        <w:ind w:firstLine="560" w:firstLineChars="200"/>
        <w:rPr>
          <w:rFonts w:hint="eastAsia" w:cs="仿宋_GB2312"/>
          <w:szCs w:val="22"/>
        </w:rPr>
      </w:pPr>
      <w:r>
        <w:rPr>
          <w:rFonts w:hint="eastAsia" w:cs="仿宋_GB2312"/>
          <w:szCs w:val="22"/>
        </w:rPr>
        <w:t>（3）</w:t>
      </w:r>
      <w:r>
        <w:rPr>
          <w:rFonts w:cs="仿宋_GB2312"/>
          <w:szCs w:val="22"/>
        </w:rPr>
        <w:t>优先安排基础保障型公共充电设施项目，确保充电普惠服务能力。</w:t>
      </w:r>
    </w:p>
    <w:p>
      <w:pPr>
        <w:spacing w:line="360" w:lineRule="auto"/>
        <w:ind w:firstLine="560" w:firstLineChars="200"/>
        <w:rPr>
          <w:rFonts w:hint="eastAsia" w:cs="仿宋_GB2312"/>
          <w:szCs w:val="22"/>
        </w:rPr>
      </w:pPr>
      <w:r>
        <w:rPr>
          <w:rFonts w:hint="eastAsia" w:cs="仿宋_GB2312"/>
          <w:szCs w:val="22"/>
        </w:rPr>
        <w:t>（4）</w:t>
      </w:r>
      <w:r>
        <w:rPr>
          <w:rFonts w:cs="仿宋_GB2312"/>
          <w:szCs w:val="22"/>
        </w:rPr>
        <w:t>优先安排充电需求较大、建设条件成熟的充电设施项目。</w:t>
      </w:r>
    </w:p>
    <w:p>
      <w:pPr>
        <w:pStyle w:val="3"/>
        <w:spacing w:line="360" w:lineRule="auto"/>
      </w:pPr>
      <w:bookmarkStart w:id="74" w:name="_Toc162527831"/>
      <w:r>
        <w:rPr>
          <w:rFonts w:hint="eastAsia"/>
        </w:rPr>
        <w:t>潜在布局资源分析</w:t>
      </w:r>
      <w:bookmarkEnd w:id="74"/>
    </w:p>
    <w:p>
      <w:pPr>
        <w:spacing w:line="360" w:lineRule="auto"/>
        <w:ind w:firstLine="560" w:firstLineChars="200"/>
        <w:rPr>
          <w:rFonts w:hint="eastAsia" w:ascii="仿宋_GB2312" w:cs="仿宋_GB2312"/>
          <w:szCs w:val="28"/>
        </w:rPr>
      </w:pPr>
      <w:r>
        <w:rPr>
          <w:rFonts w:hint="eastAsia" w:ascii="仿宋_GB2312" w:cs="仿宋_GB2312"/>
          <w:szCs w:val="28"/>
        </w:rPr>
        <w:t>桓仁满族自治县共有公共建筑物配套停车场127座，按地理位置、土地资源、客流特征等条件筛选可作为潜在布局资源的建筑物配套停车场99座，总计9356个停车位具备建设充电设施的条件。</w:t>
      </w:r>
    </w:p>
    <w:p>
      <w:pPr>
        <w:pStyle w:val="3"/>
      </w:pPr>
      <w:bookmarkStart w:id="75" w:name="_Toc3503"/>
      <w:r>
        <w:rPr>
          <w:color w:val="000000" w:themeColor="text1"/>
          <w14:textFill>
            <w14:solidFill>
              <w14:schemeClr w14:val="tx1"/>
            </w14:solidFill>
          </w14:textFill>
        </w:rPr>
        <w:t>布局方案</w:t>
      </w:r>
      <w:bookmarkEnd w:id="73"/>
      <w:bookmarkEnd w:id="75"/>
    </w:p>
    <w:p>
      <w:pPr>
        <w:spacing w:line="360" w:lineRule="auto"/>
        <w:ind w:firstLine="560" w:firstLineChars="200"/>
        <w:rPr>
          <w:rFonts w:hint="eastAsia"/>
          <w:color w:val="000000" w:themeColor="text1"/>
          <w14:textFill>
            <w14:solidFill>
              <w14:schemeClr w14:val="tx1"/>
            </w14:solidFill>
          </w14:textFill>
        </w:rPr>
      </w:pPr>
      <w:r>
        <w:rPr>
          <w:rFonts w:hint="eastAsia" w:cs="仿宋_GB2312"/>
          <w:color w:val="000000" w:themeColor="text1"/>
          <w:szCs w:val="22"/>
          <w14:textFill>
            <w14:solidFill>
              <w14:schemeClr w14:val="tx1"/>
            </w14:solidFill>
          </w14:textFill>
        </w:rPr>
        <w:t>桓仁满族自治县公共充电设施规划从“点”、“线”、“面”原则考虑：</w:t>
      </w:r>
    </w:p>
    <w:p>
      <w:pPr>
        <w:numPr>
          <w:ilvl w:val="0"/>
          <w:numId w:val="10"/>
        </w:numPr>
        <w:rPr>
          <w:rFonts w:hint="eastAsia"/>
          <w:b/>
          <w:color w:val="000000" w:themeColor="text1"/>
          <w:szCs w:val="24"/>
          <w14:textFill>
            <w14:solidFill>
              <w14:schemeClr w14:val="tx1"/>
            </w14:solidFill>
          </w14:textFill>
        </w:rPr>
      </w:pPr>
      <w:r>
        <w:rPr>
          <w:b/>
          <w:color w:val="000000" w:themeColor="text1"/>
          <w:szCs w:val="24"/>
          <w14:textFill>
            <w14:solidFill>
              <w14:schemeClr w14:val="tx1"/>
            </w14:solidFill>
          </w14:textFill>
        </w:rPr>
        <w:t>按“点”布局</w:t>
      </w:r>
    </w:p>
    <w:p>
      <w:pPr>
        <w:spacing w:before="156" w:beforeLines="50" w:line="360" w:lineRule="auto"/>
        <w:ind w:firstLine="560" w:firstLineChars="200"/>
        <w:rPr>
          <w:rFonts w:hint="eastAsia" w:cs="仿宋_GB2312"/>
          <w:color w:val="000000" w:themeColor="text1"/>
          <w:szCs w:val="22"/>
          <w14:textFill>
            <w14:solidFill>
              <w14:schemeClr w14:val="tx1"/>
            </w14:solidFill>
          </w14:textFill>
        </w:rPr>
      </w:pPr>
      <w:r>
        <w:rPr>
          <w:rFonts w:hint="eastAsia" w:cs="仿宋_GB2312"/>
          <w:color w:val="000000" w:themeColor="text1"/>
          <w:szCs w:val="22"/>
          <w14:textFill>
            <w14:solidFill>
              <w14:schemeClr w14:val="tx1"/>
            </w14:solidFill>
          </w14:textFill>
        </w:rPr>
        <w:t>考虑重点区域、重要交通枢纽、热门旅游景点等城市重要节点。这类地区一般车流量，人流量较大，可结合社会公共停车场，按照一点一站的原则进行配建。</w:t>
      </w:r>
    </w:p>
    <w:p>
      <w:pPr>
        <w:spacing w:line="360" w:lineRule="auto"/>
        <w:ind w:firstLine="560" w:firstLineChars="200"/>
        <w:rPr>
          <w:rFonts w:hint="eastAsia" w:cs="仿宋_GB2312"/>
          <w:color w:val="000000" w:themeColor="text1"/>
          <w:szCs w:val="22"/>
          <w14:textFill>
            <w14:solidFill>
              <w14:schemeClr w14:val="tx1"/>
            </w14:solidFill>
          </w14:textFill>
        </w:rPr>
      </w:pPr>
      <w:r>
        <w:rPr>
          <w:rFonts w:hint="eastAsia" w:cs="仿宋_GB2312"/>
          <w:color w:val="000000" w:themeColor="text1"/>
          <w:szCs w:val="22"/>
          <w14:textFill>
            <w14:solidFill>
              <w14:schemeClr w14:val="tx1"/>
            </w14:solidFill>
          </w14:textFill>
        </w:rPr>
        <w:t>本次规划结合桓仁满族自治县热门旅游景点内的停车场布点，部分景点可在道路两侧可停车空地布置站点。</w:t>
      </w:r>
    </w:p>
    <w:p>
      <w:pPr>
        <w:spacing w:line="360" w:lineRule="auto"/>
        <w:ind w:firstLine="560" w:firstLineChars="200"/>
        <w:rPr>
          <w:rFonts w:hint="eastAsia"/>
          <w:color w:val="000000" w:themeColor="text1"/>
          <w14:textFill>
            <w14:solidFill>
              <w14:schemeClr w14:val="tx1"/>
            </w14:solidFill>
          </w14:textFill>
        </w:rPr>
      </w:pPr>
      <w:r>
        <w:rPr>
          <w:rFonts w:hint="eastAsia" w:cs="仿宋_GB2312"/>
          <w:color w:val="000000" w:themeColor="text1"/>
          <w:szCs w:val="22"/>
          <w14:textFill>
            <w14:solidFill>
              <w14:schemeClr w14:val="tx1"/>
            </w14:solidFill>
          </w14:textFill>
        </w:rPr>
        <w:t>结合站内停车场或交通枢纽：桓仁满族自治县客运站枢纽</w:t>
      </w:r>
    </w:p>
    <w:p>
      <w:pPr>
        <w:spacing w:line="240" w:lineRule="auto"/>
        <w:jc w:val="center"/>
        <w:rPr>
          <w:rFonts w:hint="eastAsia"/>
          <w:color w:val="000000" w:themeColor="text1"/>
          <w:sz w:val="32"/>
          <w:szCs w:val="28"/>
          <w14:textFill>
            <w14:solidFill>
              <w14:schemeClr w14:val="tx1"/>
            </w14:solidFill>
          </w14:textFill>
        </w:rPr>
      </w:pPr>
      <w:r>
        <w:rPr>
          <w:color w:val="000000" w:themeColor="text1"/>
          <w:sz w:val="32"/>
          <w:szCs w:val="28"/>
          <w14:textFill>
            <w14:solidFill>
              <w14:schemeClr w14:val="tx1"/>
            </w14:solidFill>
          </w14:textFill>
        </w:rPr>
        <w:drawing>
          <wp:inline distT="0" distB="0" distL="0" distR="0">
            <wp:extent cx="5274310" cy="4356100"/>
            <wp:effectExtent l="0" t="0" r="2540" b="6350"/>
            <wp:docPr id="20094626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462624" name="图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274310" cy="4356100"/>
                    </a:xfrm>
                    <a:prstGeom prst="rect">
                      <a:avLst/>
                    </a:prstGeom>
                    <a:noFill/>
                    <a:ln>
                      <a:noFill/>
                    </a:ln>
                  </pic:spPr>
                </pic:pic>
              </a:graphicData>
            </a:graphic>
          </wp:inline>
        </w:drawing>
      </w:r>
    </w:p>
    <w:p>
      <w:pPr>
        <w:pStyle w:val="8"/>
      </w:pPr>
      <w:r>
        <w:rPr>
          <w:rFonts w:ascii="仿宋_GB2312" w:hAnsi="仿宋_GB2312" w:eastAsia="仿宋_GB2312" w:cs="仿宋_GB2312"/>
          <w:color w:val="000000" w:themeColor="text1"/>
          <w:sz w:val="21"/>
          <w:szCs w:val="21"/>
          <w14:textFill>
            <w14:solidFill>
              <w14:schemeClr w14:val="tx1"/>
            </w14:solidFill>
          </w14:textFill>
        </w:rPr>
        <w:t>热门旅游景点及交通枢纽布局分布</w:t>
      </w:r>
    </w:p>
    <w:p>
      <w:pPr>
        <w:numPr>
          <w:ilvl w:val="0"/>
          <w:numId w:val="10"/>
        </w:numPr>
        <w:rPr>
          <w:rFonts w:hint="eastAsia"/>
          <w:b/>
          <w:color w:val="000000" w:themeColor="text1"/>
          <w:szCs w:val="24"/>
          <w14:textFill>
            <w14:solidFill>
              <w14:schemeClr w14:val="tx1"/>
            </w14:solidFill>
          </w14:textFill>
        </w:rPr>
      </w:pPr>
      <w:r>
        <w:rPr>
          <w:b/>
          <w:color w:val="000000" w:themeColor="text1"/>
          <w:szCs w:val="24"/>
          <w14:textFill>
            <w14:solidFill>
              <w14:schemeClr w14:val="tx1"/>
            </w14:solidFill>
          </w14:textFill>
        </w:rPr>
        <w:t>按“线”布局</w:t>
      </w:r>
    </w:p>
    <w:p>
      <w:pPr>
        <w:spacing w:before="156" w:beforeLines="50" w:line="360" w:lineRule="auto"/>
        <w:ind w:firstLine="560" w:firstLineChars="200"/>
        <w:rPr>
          <w:rFonts w:hint="eastAsia"/>
          <w:color w:val="000000" w:themeColor="text1"/>
          <w14:textFill>
            <w14:solidFill>
              <w14:schemeClr w14:val="tx1"/>
            </w14:solidFill>
          </w14:textFill>
        </w:rPr>
      </w:pPr>
      <w:r>
        <w:rPr>
          <w:rFonts w:hint="eastAsia" w:cs="仿宋_GB2312"/>
          <w:color w:val="000000" w:themeColor="text1"/>
          <w:szCs w:val="22"/>
          <w14:textFill>
            <w14:solidFill>
              <w14:schemeClr w14:val="tx1"/>
            </w14:solidFill>
          </w14:textFill>
        </w:rPr>
        <w:t>主要结合规划和现状，城市主干道长度进行布置。根据相关专项规划，城市主干道干线道路的规划里程，一般建议结合现状有条件的加油站布局。桓仁满族自治县规划骨干道路呈现网格化的形态结构，规划充电站点可结合加油站位置进行合理布置。</w:t>
      </w:r>
    </w:p>
    <w:p>
      <w:pPr>
        <w:spacing w:line="240" w:lineRule="auto"/>
        <w:jc w:val="center"/>
        <w:rPr>
          <w:rFonts w:hint="eastAsia"/>
          <w:color w:val="000000" w:themeColor="text1"/>
          <w:szCs w:val="28"/>
          <w14:textFill>
            <w14:solidFill>
              <w14:schemeClr w14:val="tx1"/>
            </w14:solidFill>
          </w14:textFill>
        </w:rPr>
      </w:pPr>
      <w:r>
        <w:drawing>
          <wp:inline distT="0" distB="0" distL="0" distR="0">
            <wp:extent cx="5274310" cy="4021455"/>
            <wp:effectExtent l="0" t="0" r="2540" b="0"/>
            <wp:docPr id="138814288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142885" name="图片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274310" cy="4021623"/>
                    </a:xfrm>
                    <a:prstGeom prst="rect">
                      <a:avLst/>
                    </a:prstGeom>
                    <a:noFill/>
                    <a:ln>
                      <a:noFill/>
                    </a:ln>
                  </pic:spPr>
                </pic:pic>
              </a:graphicData>
            </a:graphic>
          </wp:inline>
        </w:drawing>
      </w:r>
    </w:p>
    <w:p>
      <w:pPr>
        <w:pStyle w:val="8"/>
      </w:pPr>
      <w:r>
        <w:rPr>
          <w:rFonts w:ascii="仿宋_GB2312" w:hAnsi="仿宋_GB2312" w:cs="仿宋_GB2312"/>
          <w:color w:val="000000" w:themeColor="text1"/>
          <w:szCs w:val="21"/>
          <w14:textFill>
            <w14:solidFill>
              <w14:schemeClr w14:val="tx1"/>
            </w14:solidFill>
          </w14:textFill>
        </w:rPr>
        <w:t>规划骨干道路网</w:t>
      </w:r>
      <w:r>
        <w:t xml:space="preserve"> </w:t>
      </w:r>
    </w:p>
    <w:p>
      <w:pPr>
        <w:numPr>
          <w:ilvl w:val="0"/>
          <w:numId w:val="10"/>
        </w:numPr>
        <w:rPr>
          <w:rFonts w:hint="eastAsia"/>
          <w:b/>
          <w:color w:val="000000" w:themeColor="text1"/>
          <w:szCs w:val="24"/>
          <w14:textFill>
            <w14:solidFill>
              <w14:schemeClr w14:val="tx1"/>
            </w14:solidFill>
          </w14:textFill>
        </w:rPr>
      </w:pPr>
      <w:r>
        <w:rPr>
          <w:b/>
          <w:color w:val="000000" w:themeColor="text1"/>
          <w:szCs w:val="24"/>
          <w14:textFill>
            <w14:solidFill>
              <w14:schemeClr w14:val="tx1"/>
            </w14:solidFill>
          </w14:textFill>
        </w:rPr>
        <w:t>按“面”布局</w:t>
      </w:r>
    </w:p>
    <w:p>
      <w:pPr>
        <w:spacing w:line="360" w:lineRule="auto"/>
        <w:ind w:firstLine="560" w:firstLineChars="200"/>
        <w:rPr>
          <w:rFonts w:hint="eastAsia" w:cs="仿宋_GB2312"/>
          <w:color w:val="000000" w:themeColor="text1"/>
          <w:szCs w:val="28"/>
          <w14:textFill>
            <w14:solidFill>
              <w14:schemeClr w14:val="tx1"/>
            </w14:solidFill>
          </w14:textFill>
        </w:rPr>
      </w:pPr>
      <w:r>
        <w:rPr>
          <w:rFonts w:hint="eastAsia" w:cs="仿宋_GB2312"/>
          <w:color w:val="000000" w:themeColor="text1"/>
          <w:szCs w:val="28"/>
          <w14:textFill>
            <w14:solidFill>
              <w14:schemeClr w14:val="tx1"/>
            </w14:solidFill>
          </w14:textFill>
        </w:rPr>
        <w:t>主要从覆盖规划区范围角度出发，根据国家相关政策。在“点”、“线”布点的基础上，结合规划用地性质、已有公共停车场、大型综合体，在充电设施布点薄弱的地区新建站点。</w:t>
      </w:r>
    </w:p>
    <w:p>
      <w:pPr>
        <w:spacing w:line="360" w:lineRule="auto"/>
        <w:ind w:firstLine="560" w:firstLineChars="200"/>
        <w:rPr>
          <w:rFonts w:hint="eastAsia" w:cs="仿宋_GB2312"/>
          <w:color w:val="000000" w:themeColor="text1"/>
          <w:szCs w:val="28"/>
          <w14:textFill>
            <w14:solidFill>
              <w14:schemeClr w14:val="tx1"/>
            </w14:solidFill>
          </w14:textFill>
        </w:rPr>
      </w:pPr>
      <w:r>
        <w:rPr>
          <w:rFonts w:hint="eastAsia" w:cs="仿宋_GB2312"/>
          <w:color w:val="000000" w:themeColor="text1"/>
          <w:szCs w:val="28"/>
          <w14:textFill>
            <w14:solidFill>
              <w14:schemeClr w14:val="tx1"/>
            </w14:solidFill>
          </w14:textFill>
        </w:rPr>
        <w:t>现状年桓仁满族自治县共有公共充电服务站</w:t>
      </w:r>
      <w:r>
        <w:rPr>
          <w:rFonts w:cs="仿宋_GB2312"/>
          <w:color w:val="000000" w:themeColor="text1"/>
          <w:szCs w:val="28"/>
          <w14:textFill>
            <w14:solidFill>
              <w14:schemeClr w14:val="tx1"/>
            </w14:solidFill>
          </w14:textFill>
        </w:rPr>
        <w:t>5</w:t>
      </w:r>
      <w:r>
        <w:rPr>
          <w:rFonts w:hint="eastAsia" w:cs="仿宋_GB2312"/>
          <w:color w:val="000000" w:themeColor="text1"/>
          <w:szCs w:val="28"/>
          <w14:textFill>
            <w14:solidFill>
              <w14:schemeClr w14:val="tx1"/>
            </w14:solidFill>
          </w14:textFill>
        </w:rPr>
        <w:t>座，分别位于桓仁满族自治县滨江大街1号、桓仁满族自治县桓仁凤鸣加油站、桓仁客运站停车场，至2</w:t>
      </w:r>
      <w:r>
        <w:rPr>
          <w:rFonts w:cs="仿宋_GB2312"/>
          <w:color w:val="000000" w:themeColor="text1"/>
          <w:szCs w:val="28"/>
          <w14:textFill>
            <w14:solidFill>
              <w14:schemeClr w14:val="tx1"/>
            </w14:solidFill>
          </w14:textFill>
        </w:rPr>
        <w:t>028</w:t>
      </w:r>
      <w:r>
        <w:rPr>
          <w:rFonts w:hint="eastAsia" w:cs="仿宋_GB2312"/>
          <w:color w:val="000000" w:themeColor="text1"/>
          <w:szCs w:val="28"/>
          <w14:textFill>
            <w14:solidFill>
              <w14:schemeClr w14:val="tx1"/>
            </w14:solidFill>
          </w14:textFill>
        </w:rPr>
        <w:t>年，桓仁满族自治县期间建设公用充电站</w:t>
      </w:r>
      <w:r>
        <w:rPr>
          <w:rFonts w:cs="仿宋_GB2312"/>
          <w:color w:val="000000" w:themeColor="text1"/>
          <w:szCs w:val="28"/>
          <w14:textFill>
            <w14:solidFill>
              <w14:schemeClr w14:val="tx1"/>
            </w14:solidFill>
          </w14:textFill>
        </w:rPr>
        <w:t>22</w:t>
      </w:r>
      <w:r>
        <w:rPr>
          <w:rFonts w:hint="eastAsia" w:cs="仿宋_GB2312"/>
          <w:color w:val="000000" w:themeColor="text1"/>
          <w:szCs w:val="28"/>
          <w14:textFill>
            <w14:solidFill>
              <w14:schemeClr w14:val="tx1"/>
            </w14:solidFill>
          </w14:textFill>
        </w:rPr>
        <w:t>座，建设各类充电桩</w:t>
      </w:r>
      <w:r>
        <w:rPr>
          <w:rFonts w:cs="仿宋_GB2312"/>
          <w:color w:val="000000" w:themeColor="text1"/>
          <w:szCs w:val="28"/>
          <w14:textFill>
            <w14:solidFill>
              <w14:schemeClr w14:val="tx1"/>
            </w14:solidFill>
          </w14:textFill>
        </w:rPr>
        <w:t>138</w:t>
      </w:r>
      <w:r>
        <w:rPr>
          <w:rFonts w:hint="eastAsia" w:cs="仿宋_GB2312"/>
          <w:color w:val="000000" w:themeColor="text1"/>
          <w:szCs w:val="28"/>
          <w14:textFill>
            <w14:solidFill>
              <w14:schemeClr w14:val="tx1"/>
            </w14:solidFill>
          </w14:textFill>
        </w:rPr>
        <w:t>台，全部为快速充电桩</w:t>
      </w:r>
      <w:r>
        <w:rPr>
          <w:rFonts w:cs="仿宋_GB2312"/>
          <w:color w:val="000000" w:themeColor="text1"/>
          <w:szCs w:val="28"/>
          <w14:textFill>
            <w14:solidFill>
              <w14:schemeClr w14:val="tx1"/>
            </w14:solidFill>
          </w14:textFill>
        </w:rPr>
        <w:t>20</w:t>
      </w:r>
      <w:r>
        <w:rPr>
          <w:rFonts w:hint="eastAsia" w:cs="仿宋_GB2312"/>
          <w:color w:val="000000" w:themeColor="text1"/>
          <w:szCs w:val="28"/>
          <w14:textFill>
            <w14:solidFill>
              <w14:schemeClr w14:val="tx1"/>
            </w14:solidFill>
          </w14:textFill>
        </w:rPr>
        <w:t>8台。详见桓仁满族自治县片区“十四五”公共充电站建设计划表：</w:t>
      </w:r>
    </w:p>
    <w:p>
      <w:pPr>
        <w:pStyle w:val="4"/>
      </w:pPr>
      <w:bookmarkStart w:id="76" w:name="_Toc94186596"/>
      <w:r>
        <w:rPr>
          <w:rFonts w:hint="eastAsia"/>
        </w:rPr>
        <w:t>公共充电设施规划</w:t>
      </w:r>
    </w:p>
    <w:p>
      <w:pPr>
        <w:spacing w:line="360" w:lineRule="auto"/>
        <w:ind w:firstLine="560" w:firstLineChars="200"/>
        <w:jc w:val="left"/>
        <w:rPr>
          <w:rFonts w:hint="eastAsia"/>
        </w:rPr>
      </w:pPr>
      <w:r>
        <w:rPr>
          <w:rFonts w:cs="仿宋_GB2312"/>
          <w:szCs w:val="22"/>
        </w:rPr>
        <w:t>结合区域位置分布，考虑在商业、旅游、工业等区域的车辆多为临时停靠补电，充电桩以快充为主，在居住区域多为私家车，充电桩以慢充为主的原则，</w:t>
      </w:r>
      <w:r>
        <w:rPr>
          <w:rFonts w:hint="eastAsia" w:cs="仿宋_GB2312"/>
          <w:szCs w:val="22"/>
        </w:rPr>
        <w:t>2</w:t>
      </w:r>
      <w:r>
        <w:rPr>
          <w:rFonts w:cs="仿宋_GB2312"/>
          <w:szCs w:val="22"/>
        </w:rPr>
        <w:t>024-</w:t>
      </w:r>
      <w:r>
        <w:rPr>
          <w:rFonts w:hint="eastAsia" w:cs="仿宋_GB2312"/>
          <w:szCs w:val="22"/>
        </w:rPr>
        <w:t>2</w:t>
      </w:r>
      <w:r>
        <w:rPr>
          <w:rFonts w:cs="仿宋_GB2312"/>
          <w:szCs w:val="22"/>
        </w:rPr>
        <w:t>028</w:t>
      </w:r>
      <w:r>
        <w:rPr>
          <w:rFonts w:hint="eastAsia" w:cs="仿宋_GB2312"/>
          <w:szCs w:val="22"/>
        </w:rPr>
        <w:t>年桓仁满族自治县</w:t>
      </w:r>
      <w:r>
        <w:rPr>
          <w:rFonts w:cs="仿宋_GB2312"/>
          <w:szCs w:val="22"/>
        </w:rPr>
        <w:t>规划新建公共充电站</w:t>
      </w:r>
      <w:r>
        <w:rPr>
          <w:rFonts w:hint="eastAsia" w:cs="仿宋_GB2312"/>
          <w:szCs w:val="22"/>
        </w:rPr>
        <w:t>31</w:t>
      </w:r>
      <w:r>
        <w:rPr>
          <w:rFonts w:cs="仿宋_GB2312"/>
          <w:szCs w:val="22"/>
        </w:rPr>
        <w:t>座，新增公共充电桩</w:t>
      </w:r>
      <w:r>
        <w:rPr>
          <w:rFonts w:hint="eastAsia" w:cs="仿宋_GB2312"/>
          <w:szCs w:val="22"/>
        </w:rPr>
        <w:t>181</w:t>
      </w:r>
      <w:r>
        <w:rPr>
          <w:rFonts w:cs="仿宋_GB2312"/>
          <w:szCs w:val="22"/>
        </w:rPr>
        <w:t>个</w:t>
      </w:r>
      <w:r>
        <w:rPr>
          <w:rFonts w:hint="eastAsia" w:cs="仿宋_GB2312"/>
          <w:szCs w:val="22"/>
        </w:rPr>
        <w:t>（充电枪181个）</w:t>
      </w:r>
      <w:r>
        <w:rPr>
          <w:rFonts w:cs="仿宋_GB2312"/>
          <w:szCs w:val="22"/>
        </w:rPr>
        <w:t>，</w:t>
      </w:r>
      <w:r>
        <w:rPr>
          <w:rFonts w:hint="eastAsia" w:cs="仿宋_GB2312"/>
          <w:szCs w:val="22"/>
        </w:rPr>
        <w:t>全部为</w:t>
      </w:r>
      <w:r>
        <w:rPr>
          <w:rFonts w:cs="仿宋_GB2312"/>
          <w:szCs w:val="22"/>
        </w:rPr>
        <w:t>快充充电桩。</w:t>
      </w:r>
      <w:r>
        <w:rPr>
          <w:rFonts w:hint="eastAsia" w:cs="仿宋_GB2312"/>
          <w:szCs w:val="22"/>
        </w:rPr>
        <w:t>桓仁满族自治县</w:t>
      </w:r>
      <w:r>
        <w:rPr>
          <w:rFonts w:cs="仿宋_GB2312"/>
          <w:szCs w:val="22"/>
        </w:rPr>
        <w:t>规划公共充电设施站点如下所示。</w:t>
      </w:r>
      <w:r>
        <w:drawing>
          <wp:inline distT="0" distB="0" distL="0" distR="0">
            <wp:extent cx="5274310" cy="3729355"/>
            <wp:effectExtent l="0" t="0" r="2540" b="4445"/>
            <wp:docPr id="94359649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596494" name="图片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5274310" cy="3729355"/>
                    </a:xfrm>
                    <a:prstGeom prst="rect">
                      <a:avLst/>
                    </a:prstGeom>
                    <a:noFill/>
                    <a:ln>
                      <a:noFill/>
                    </a:ln>
                  </pic:spPr>
                </pic:pic>
              </a:graphicData>
            </a:graphic>
          </wp:inline>
        </w:drawing>
      </w:r>
    </w:p>
    <w:p>
      <w:pPr>
        <w:pStyle w:val="8"/>
      </w:pPr>
      <w:r>
        <w:rPr>
          <w:rFonts w:hint="eastAsia"/>
        </w:rPr>
        <w:t>桓仁满族自治县2</w:t>
      </w:r>
      <w:r>
        <w:t>024-2028</w:t>
      </w:r>
      <w:r>
        <w:rPr>
          <w:rFonts w:hint="eastAsia"/>
        </w:rPr>
        <w:t>年</w:t>
      </w:r>
      <w:r>
        <w:t>公共充电设施规划布局</w:t>
      </w:r>
    </w:p>
    <w:p>
      <w:pPr>
        <w:pStyle w:val="7"/>
      </w:pPr>
      <w:r>
        <w:rPr>
          <w:rFonts w:hint="eastAsia"/>
        </w:rPr>
        <w:t>桓仁满族自治县2</w:t>
      </w:r>
      <w:r>
        <w:t>024-2028</w:t>
      </w:r>
      <w:r>
        <w:rPr>
          <w:rFonts w:hint="eastAsia"/>
        </w:rPr>
        <w:t>年</w:t>
      </w:r>
      <w:r>
        <w:t>公共充电设施规划项目表</w:t>
      </w: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28" w:type="dxa"/>
          <w:left w:w="28" w:type="dxa"/>
          <w:bottom w:w="28" w:type="dxa"/>
          <w:right w:w="28" w:type="dxa"/>
        </w:tblCellMar>
      </w:tblPr>
      <w:tblGrid>
        <w:gridCol w:w="399"/>
        <w:gridCol w:w="2104"/>
        <w:gridCol w:w="3781"/>
        <w:gridCol w:w="716"/>
        <w:gridCol w:w="622"/>
        <w:gridCol w:w="74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238" w:type="pct"/>
            <w:vMerge w:val="restart"/>
            <w:shd w:val="clear" w:color="000000" w:fill="D9D9D9"/>
            <w:noWrap/>
            <w:vAlign w:val="center"/>
          </w:tcPr>
          <w:p>
            <w:pPr>
              <w:spacing w:line="240" w:lineRule="auto"/>
              <w:jc w:val="center"/>
              <w:rPr>
                <w:rFonts w:hint="eastAsia"/>
                <w:b/>
                <w:sz w:val="19"/>
              </w:rPr>
            </w:pPr>
            <w:r>
              <w:rPr>
                <w:rFonts w:hint="eastAsia"/>
                <w:b/>
                <w:sz w:val="19"/>
              </w:rPr>
              <w:t>序号</w:t>
            </w:r>
          </w:p>
        </w:tc>
        <w:tc>
          <w:tcPr>
            <w:tcW w:w="1258" w:type="pct"/>
            <w:vMerge w:val="restart"/>
            <w:shd w:val="clear" w:color="000000" w:fill="D9D9D9"/>
            <w:noWrap/>
            <w:vAlign w:val="center"/>
          </w:tcPr>
          <w:p>
            <w:pPr>
              <w:spacing w:line="240" w:lineRule="auto"/>
              <w:jc w:val="center"/>
              <w:rPr>
                <w:rFonts w:hint="eastAsia"/>
                <w:b/>
                <w:sz w:val="19"/>
              </w:rPr>
            </w:pPr>
            <w:r>
              <w:rPr>
                <w:rFonts w:hint="eastAsia"/>
                <w:b/>
                <w:sz w:val="19"/>
              </w:rPr>
              <w:t>停车场名称</w:t>
            </w:r>
          </w:p>
        </w:tc>
        <w:tc>
          <w:tcPr>
            <w:tcW w:w="2261" w:type="pct"/>
            <w:vMerge w:val="restart"/>
            <w:shd w:val="clear" w:color="000000" w:fill="D9D9D9"/>
            <w:noWrap/>
            <w:vAlign w:val="center"/>
          </w:tcPr>
          <w:p>
            <w:pPr>
              <w:spacing w:line="240" w:lineRule="auto"/>
              <w:jc w:val="center"/>
              <w:rPr>
                <w:rFonts w:hint="eastAsia"/>
                <w:b/>
                <w:sz w:val="19"/>
              </w:rPr>
            </w:pPr>
            <w:r>
              <w:rPr>
                <w:rFonts w:hint="eastAsia"/>
                <w:b/>
                <w:sz w:val="19"/>
              </w:rPr>
              <w:t>具体位置</w:t>
            </w:r>
          </w:p>
        </w:tc>
        <w:tc>
          <w:tcPr>
            <w:tcW w:w="800" w:type="pct"/>
            <w:gridSpan w:val="2"/>
            <w:shd w:val="clear" w:color="000000" w:fill="D9D9D9"/>
            <w:vAlign w:val="center"/>
          </w:tcPr>
          <w:p>
            <w:pPr>
              <w:spacing w:line="240" w:lineRule="auto"/>
              <w:jc w:val="center"/>
              <w:rPr>
                <w:rFonts w:hint="eastAsia"/>
                <w:b/>
                <w:sz w:val="19"/>
              </w:rPr>
            </w:pPr>
            <w:r>
              <w:rPr>
                <w:rFonts w:hint="eastAsia"/>
                <w:b/>
                <w:sz w:val="19"/>
              </w:rPr>
              <w:t>设置充电桩设施数量（台）</w:t>
            </w:r>
          </w:p>
        </w:tc>
        <w:tc>
          <w:tcPr>
            <w:tcW w:w="443" w:type="pct"/>
            <w:vMerge w:val="restart"/>
            <w:shd w:val="clear" w:color="000000" w:fill="D9D9D9"/>
            <w:noWrap/>
            <w:vAlign w:val="center"/>
          </w:tcPr>
          <w:p>
            <w:pPr>
              <w:spacing w:line="240" w:lineRule="auto"/>
              <w:jc w:val="center"/>
              <w:rPr>
                <w:rFonts w:hint="eastAsia"/>
                <w:b/>
                <w:sz w:val="19"/>
              </w:rPr>
            </w:pPr>
            <w:r>
              <w:rPr>
                <w:rFonts w:hint="eastAsia"/>
                <w:b/>
                <w:sz w:val="19"/>
              </w:rPr>
              <w:t>建设年份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238" w:type="pct"/>
            <w:vMerge w:val="continue"/>
            <w:shd w:val="clear" w:color="000000" w:fill="D9D9D9"/>
            <w:vAlign w:val="center"/>
          </w:tcPr>
          <w:p>
            <w:pPr>
              <w:spacing w:line="240" w:lineRule="auto"/>
              <w:jc w:val="center"/>
              <w:rPr>
                <w:rFonts w:hint="eastAsia"/>
                <w:b/>
                <w:sz w:val="19"/>
              </w:rPr>
            </w:pPr>
          </w:p>
        </w:tc>
        <w:tc>
          <w:tcPr>
            <w:tcW w:w="1258" w:type="pct"/>
            <w:vMerge w:val="continue"/>
            <w:shd w:val="clear" w:color="000000" w:fill="D9D9D9"/>
            <w:vAlign w:val="center"/>
          </w:tcPr>
          <w:p>
            <w:pPr>
              <w:spacing w:line="240" w:lineRule="auto"/>
              <w:jc w:val="center"/>
              <w:rPr>
                <w:rFonts w:hint="eastAsia"/>
                <w:b/>
                <w:sz w:val="19"/>
              </w:rPr>
            </w:pPr>
          </w:p>
        </w:tc>
        <w:tc>
          <w:tcPr>
            <w:tcW w:w="2261" w:type="pct"/>
            <w:vMerge w:val="continue"/>
            <w:shd w:val="clear" w:color="000000" w:fill="D9D9D9"/>
            <w:vAlign w:val="center"/>
          </w:tcPr>
          <w:p>
            <w:pPr>
              <w:spacing w:line="240" w:lineRule="auto"/>
              <w:jc w:val="center"/>
              <w:rPr>
                <w:rFonts w:hint="eastAsia"/>
                <w:b/>
                <w:sz w:val="19"/>
              </w:rPr>
            </w:pPr>
          </w:p>
        </w:tc>
        <w:tc>
          <w:tcPr>
            <w:tcW w:w="428" w:type="pct"/>
            <w:shd w:val="clear" w:color="000000" w:fill="D9D9D9"/>
            <w:noWrap/>
            <w:vAlign w:val="center"/>
          </w:tcPr>
          <w:p>
            <w:pPr>
              <w:spacing w:line="240" w:lineRule="auto"/>
              <w:jc w:val="center"/>
              <w:rPr>
                <w:rFonts w:hint="eastAsia"/>
                <w:b/>
                <w:sz w:val="19"/>
              </w:rPr>
            </w:pPr>
            <w:r>
              <w:rPr>
                <w:rFonts w:hint="eastAsia"/>
                <w:b/>
                <w:sz w:val="19"/>
              </w:rPr>
              <w:t>快充</w:t>
            </w:r>
          </w:p>
        </w:tc>
        <w:tc>
          <w:tcPr>
            <w:tcW w:w="372" w:type="pct"/>
            <w:shd w:val="clear" w:color="000000" w:fill="D9D9D9"/>
            <w:noWrap/>
            <w:vAlign w:val="center"/>
          </w:tcPr>
          <w:p>
            <w:pPr>
              <w:spacing w:line="240" w:lineRule="auto"/>
              <w:jc w:val="center"/>
              <w:rPr>
                <w:rFonts w:hint="eastAsia"/>
                <w:b/>
                <w:sz w:val="19"/>
              </w:rPr>
            </w:pPr>
            <w:r>
              <w:rPr>
                <w:rFonts w:hint="eastAsia"/>
                <w:b/>
                <w:sz w:val="19"/>
              </w:rPr>
              <w:t>慢充</w:t>
            </w:r>
          </w:p>
        </w:tc>
        <w:tc>
          <w:tcPr>
            <w:tcW w:w="443" w:type="pct"/>
            <w:vMerge w:val="continue"/>
            <w:shd w:val="clear" w:color="000000" w:fill="D9D9D9"/>
            <w:vAlign w:val="center"/>
          </w:tcPr>
          <w:p>
            <w:pPr>
              <w:spacing w:line="240" w:lineRule="auto"/>
              <w:jc w:val="center"/>
              <w:rPr>
                <w:rFonts w:hint="eastAsia"/>
                <w:b/>
                <w:sz w:val="19"/>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sz w:val="19"/>
              </w:rPr>
              <w:t>1</w:t>
            </w:r>
          </w:p>
        </w:tc>
        <w:tc>
          <w:tcPr>
            <w:tcW w:w="1258" w:type="pct"/>
            <w:shd w:val="clear" w:color="auto" w:fill="auto"/>
            <w:noWrap/>
            <w:vAlign w:val="center"/>
          </w:tcPr>
          <w:p>
            <w:pPr>
              <w:spacing w:line="240" w:lineRule="auto"/>
              <w:jc w:val="center"/>
              <w:rPr>
                <w:rFonts w:hint="eastAsia"/>
                <w:sz w:val="19"/>
              </w:rPr>
            </w:pPr>
            <w:r>
              <w:rPr>
                <w:rFonts w:hint="eastAsia"/>
                <w:sz w:val="19"/>
              </w:rPr>
              <w:t>五女山山城</w:t>
            </w:r>
          </w:p>
        </w:tc>
        <w:tc>
          <w:tcPr>
            <w:tcW w:w="2261" w:type="pct"/>
            <w:shd w:val="clear" w:color="auto" w:fill="auto"/>
            <w:noWrap/>
            <w:vAlign w:val="center"/>
          </w:tcPr>
          <w:p>
            <w:pPr>
              <w:spacing w:line="240" w:lineRule="auto"/>
              <w:jc w:val="center"/>
              <w:rPr>
                <w:rFonts w:hint="eastAsia"/>
                <w:sz w:val="19"/>
              </w:rPr>
            </w:pPr>
            <w:r>
              <w:rPr>
                <w:sz w:val="19"/>
              </w:rPr>
              <w:t>桓仁满族自治县北侧8公里处浑江西北岸</w:t>
            </w:r>
          </w:p>
        </w:tc>
        <w:tc>
          <w:tcPr>
            <w:tcW w:w="428" w:type="pct"/>
            <w:shd w:val="clear" w:color="auto" w:fill="auto"/>
            <w:noWrap/>
            <w:vAlign w:val="center"/>
          </w:tcPr>
          <w:p>
            <w:pPr>
              <w:spacing w:line="240" w:lineRule="auto"/>
              <w:jc w:val="center"/>
              <w:rPr>
                <w:rFonts w:hint="eastAsia"/>
                <w:sz w:val="19"/>
              </w:rPr>
            </w:pPr>
            <w:r>
              <w:rPr>
                <w:rFonts w:hint="eastAsia"/>
                <w:sz w:val="19"/>
              </w:rPr>
              <w:t>18</w:t>
            </w:r>
          </w:p>
        </w:tc>
        <w:tc>
          <w:tcPr>
            <w:tcW w:w="372" w:type="pct"/>
            <w:shd w:val="clear" w:color="auto" w:fill="auto"/>
            <w:noWrap/>
            <w:vAlign w:val="center"/>
          </w:tcPr>
          <w:p>
            <w:pPr>
              <w:spacing w:line="240" w:lineRule="auto"/>
              <w:jc w:val="center"/>
              <w:rPr>
                <w:rFonts w:hint="eastAsia"/>
                <w:sz w:val="19"/>
              </w:rPr>
            </w:pPr>
            <w:r>
              <w:rPr>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sz w:val="19"/>
              </w:rPr>
              <w:t>2</w:t>
            </w:r>
          </w:p>
        </w:tc>
        <w:tc>
          <w:tcPr>
            <w:tcW w:w="1258" w:type="pct"/>
            <w:shd w:val="clear" w:color="auto" w:fill="auto"/>
            <w:noWrap/>
            <w:vAlign w:val="center"/>
          </w:tcPr>
          <w:p>
            <w:pPr>
              <w:spacing w:line="240" w:lineRule="auto"/>
              <w:jc w:val="center"/>
              <w:rPr>
                <w:rFonts w:hint="eastAsia"/>
                <w:sz w:val="19"/>
              </w:rPr>
            </w:pPr>
            <w:r>
              <w:rPr>
                <w:rFonts w:hint="eastAsia"/>
                <w:sz w:val="19"/>
              </w:rPr>
              <w:t>大雅河漂流景区</w:t>
            </w:r>
          </w:p>
        </w:tc>
        <w:tc>
          <w:tcPr>
            <w:tcW w:w="2261" w:type="pct"/>
            <w:shd w:val="clear" w:color="auto" w:fill="auto"/>
            <w:noWrap/>
            <w:vAlign w:val="center"/>
          </w:tcPr>
          <w:p>
            <w:pPr>
              <w:spacing w:line="240" w:lineRule="auto"/>
              <w:jc w:val="center"/>
              <w:rPr>
                <w:rFonts w:hint="eastAsia"/>
                <w:sz w:val="19"/>
              </w:rPr>
            </w:pPr>
            <w:r>
              <w:rPr>
                <w:sz w:val="19"/>
              </w:rPr>
              <w:t>桓仁满族自治县普乐堡镇老漫子乡</w:t>
            </w:r>
          </w:p>
        </w:tc>
        <w:tc>
          <w:tcPr>
            <w:tcW w:w="428" w:type="pct"/>
            <w:shd w:val="clear" w:color="auto" w:fill="auto"/>
            <w:noWrap/>
            <w:vAlign w:val="center"/>
          </w:tcPr>
          <w:p>
            <w:pPr>
              <w:spacing w:line="240" w:lineRule="auto"/>
              <w:jc w:val="center"/>
              <w:rPr>
                <w:rFonts w:hint="eastAsia"/>
                <w:sz w:val="19"/>
              </w:rPr>
            </w:pPr>
            <w:r>
              <w:rPr>
                <w:rFonts w:hint="eastAsia"/>
                <w:sz w:val="19"/>
              </w:rPr>
              <w:t>15</w:t>
            </w:r>
          </w:p>
        </w:tc>
        <w:tc>
          <w:tcPr>
            <w:tcW w:w="372" w:type="pct"/>
            <w:shd w:val="clear" w:color="auto" w:fill="auto"/>
            <w:noWrap/>
            <w:vAlign w:val="center"/>
          </w:tcPr>
          <w:p>
            <w:pPr>
              <w:spacing w:line="240" w:lineRule="auto"/>
              <w:jc w:val="center"/>
              <w:rPr>
                <w:rFonts w:hint="eastAsia"/>
                <w:sz w:val="19"/>
              </w:rPr>
            </w:pPr>
            <w:r>
              <w:rPr>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sz w:val="19"/>
              </w:rPr>
              <w:t>3</w:t>
            </w:r>
          </w:p>
        </w:tc>
        <w:tc>
          <w:tcPr>
            <w:tcW w:w="1258" w:type="pct"/>
            <w:shd w:val="clear" w:color="auto" w:fill="auto"/>
            <w:noWrap/>
            <w:vAlign w:val="center"/>
          </w:tcPr>
          <w:p>
            <w:pPr>
              <w:spacing w:line="240" w:lineRule="auto"/>
              <w:jc w:val="center"/>
              <w:rPr>
                <w:rFonts w:hint="eastAsia"/>
                <w:sz w:val="19"/>
              </w:rPr>
            </w:pPr>
            <w:r>
              <w:rPr>
                <w:rFonts w:hint="eastAsia"/>
                <w:sz w:val="19"/>
              </w:rPr>
              <w:t>虎谷峡景区</w:t>
            </w:r>
          </w:p>
        </w:tc>
        <w:tc>
          <w:tcPr>
            <w:tcW w:w="2261" w:type="pct"/>
            <w:shd w:val="clear" w:color="auto" w:fill="auto"/>
            <w:noWrap/>
            <w:vAlign w:val="center"/>
          </w:tcPr>
          <w:p>
            <w:pPr>
              <w:spacing w:line="240" w:lineRule="auto"/>
              <w:jc w:val="center"/>
              <w:rPr>
                <w:rFonts w:hint="eastAsia"/>
                <w:sz w:val="19"/>
              </w:rPr>
            </w:pPr>
            <w:r>
              <w:rPr>
                <w:sz w:val="19"/>
              </w:rPr>
              <w:t>桓仁满族自治县向阳乡和平村8号</w:t>
            </w:r>
          </w:p>
        </w:tc>
        <w:tc>
          <w:tcPr>
            <w:tcW w:w="428" w:type="pct"/>
            <w:shd w:val="clear" w:color="auto" w:fill="auto"/>
            <w:noWrap/>
            <w:vAlign w:val="center"/>
          </w:tcPr>
          <w:p>
            <w:pPr>
              <w:spacing w:line="240" w:lineRule="auto"/>
              <w:jc w:val="center"/>
              <w:rPr>
                <w:rFonts w:hint="eastAsia"/>
                <w:sz w:val="19"/>
              </w:rPr>
            </w:pPr>
            <w:r>
              <w:rPr>
                <w:rFonts w:hint="eastAsia"/>
                <w:sz w:val="19"/>
              </w:rPr>
              <w:t>15</w:t>
            </w:r>
          </w:p>
        </w:tc>
        <w:tc>
          <w:tcPr>
            <w:tcW w:w="372" w:type="pct"/>
            <w:shd w:val="clear" w:color="auto" w:fill="auto"/>
            <w:noWrap/>
            <w:vAlign w:val="center"/>
          </w:tcPr>
          <w:p>
            <w:pPr>
              <w:spacing w:line="240" w:lineRule="auto"/>
              <w:jc w:val="center"/>
              <w:rPr>
                <w:rFonts w:hint="eastAsia"/>
                <w:sz w:val="19"/>
              </w:rPr>
            </w:pPr>
            <w:r>
              <w:rPr>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sz w:val="19"/>
              </w:rPr>
              <w:t>4</w:t>
            </w:r>
          </w:p>
        </w:tc>
        <w:tc>
          <w:tcPr>
            <w:tcW w:w="1258" w:type="pct"/>
            <w:shd w:val="clear" w:color="auto" w:fill="auto"/>
            <w:noWrap/>
            <w:vAlign w:val="center"/>
          </w:tcPr>
          <w:p>
            <w:pPr>
              <w:spacing w:line="240" w:lineRule="auto"/>
              <w:jc w:val="center"/>
              <w:rPr>
                <w:rFonts w:hint="eastAsia"/>
                <w:sz w:val="19"/>
              </w:rPr>
            </w:pPr>
            <w:r>
              <w:rPr>
                <w:rFonts w:hint="eastAsia"/>
                <w:sz w:val="19"/>
              </w:rPr>
              <w:t>桓仁雅河油品有限公司</w:t>
            </w:r>
          </w:p>
        </w:tc>
        <w:tc>
          <w:tcPr>
            <w:tcW w:w="2261" w:type="pct"/>
            <w:shd w:val="clear" w:color="auto" w:fill="auto"/>
            <w:noWrap/>
            <w:vAlign w:val="center"/>
          </w:tcPr>
          <w:p>
            <w:pPr>
              <w:spacing w:line="240" w:lineRule="auto"/>
              <w:jc w:val="center"/>
              <w:rPr>
                <w:rFonts w:hint="eastAsia"/>
                <w:sz w:val="19"/>
              </w:rPr>
            </w:pPr>
            <w:r>
              <w:rPr>
                <w:rFonts w:hint="eastAsia"/>
                <w:sz w:val="19"/>
              </w:rPr>
              <w:t>桓仁满族自治县雅河乡镇董船营村街01组51幢单元1号</w:t>
            </w:r>
          </w:p>
        </w:tc>
        <w:tc>
          <w:tcPr>
            <w:tcW w:w="428" w:type="pct"/>
            <w:shd w:val="clear" w:color="auto" w:fill="auto"/>
            <w:noWrap/>
            <w:vAlign w:val="center"/>
          </w:tcPr>
          <w:p>
            <w:pPr>
              <w:spacing w:line="240" w:lineRule="auto"/>
              <w:jc w:val="center"/>
              <w:rPr>
                <w:rFonts w:hint="eastAsia"/>
                <w:sz w:val="19"/>
              </w:rPr>
            </w:pPr>
            <w:r>
              <w:rPr>
                <w:rFonts w:hint="eastAsia"/>
                <w:sz w:val="19"/>
              </w:rPr>
              <w:t>3</w:t>
            </w:r>
          </w:p>
        </w:tc>
        <w:tc>
          <w:tcPr>
            <w:tcW w:w="372" w:type="pct"/>
            <w:shd w:val="clear" w:color="auto" w:fill="auto"/>
            <w:noWrap/>
            <w:vAlign w:val="center"/>
          </w:tcPr>
          <w:p>
            <w:pPr>
              <w:spacing w:line="240" w:lineRule="auto"/>
              <w:jc w:val="center"/>
              <w:rPr>
                <w:rFonts w:hint="eastAsia"/>
                <w:sz w:val="19"/>
              </w:rPr>
            </w:pPr>
            <w:r>
              <w:rPr>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sz w:val="19"/>
              </w:rPr>
              <w:t>5</w:t>
            </w:r>
          </w:p>
        </w:tc>
        <w:tc>
          <w:tcPr>
            <w:tcW w:w="1258" w:type="pct"/>
            <w:shd w:val="clear" w:color="auto" w:fill="auto"/>
            <w:noWrap/>
            <w:vAlign w:val="center"/>
          </w:tcPr>
          <w:p>
            <w:pPr>
              <w:spacing w:line="240" w:lineRule="auto"/>
              <w:jc w:val="center"/>
              <w:rPr>
                <w:rFonts w:hint="eastAsia"/>
                <w:sz w:val="19"/>
              </w:rPr>
            </w:pPr>
            <w:r>
              <w:rPr>
                <w:rFonts w:hint="eastAsia"/>
                <w:sz w:val="19"/>
              </w:rPr>
              <w:t>桓仁满族自治县东升加油站</w:t>
            </w:r>
          </w:p>
        </w:tc>
        <w:tc>
          <w:tcPr>
            <w:tcW w:w="2261" w:type="pct"/>
            <w:shd w:val="clear" w:color="auto" w:fill="auto"/>
            <w:noWrap/>
            <w:vAlign w:val="center"/>
          </w:tcPr>
          <w:p>
            <w:pPr>
              <w:spacing w:line="240" w:lineRule="auto"/>
              <w:jc w:val="center"/>
              <w:rPr>
                <w:rFonts w:hint="eastAsia"/>
                <w:sz w:val="19"/>
              </w:rPr>
            </w:pPr>
            <w:r>
              <w:rPr>
                <w:sz w:val="19"/>
              </w:rPr>
              <w:t>本溪市桓仁满族自治县坑伙洛村S303</w:t>
            </w:r>
          </w:p>
        </w:tc>
        <w:tc>
          <w:tcPr>
            <w:tcW w:w="428" w:type="pct"/>
            <w:shd w:val="clear" w:color="auto" w:fill="auto"/>
            <w:noWrap/>
            <w:vAlign w:val="center"/>
          </w:tcPr>
          <w:p>
            <w:pPr>
              <w:spacing w:line="240" w:lineRule="auto"/>
              <w:jc w:val="center"/>
              <w:rPr>
                <w:rFonts w:hint="eastAsia"/>
                <w:sz w:val="19"/>
              </w:rPr>
            </w:pPr>
            <w:r>
              <w:rPr>
                <w:rFonts w:hint="eastAsia"/>
                <w:sz w:val="19"/>
              </w:rPr>
              <w:t>3</w:t>
            </w:r>
          </w:p>
        </w:tc>
        <w:tc>
          <w:tcPr>
            <w:tcW w:w="372" w:type="pct"/>
            <w:shd w:val="clear" w:color="auto" w:fill="auto"/>
            <w:noWrap/>
            <w:vAlign w:val="center"/>
          </w:tcPr>
          <w:p>
            <w:pPr>
              <w:spacing w:line="240" w:lineRule="auto"/>
              <w:jc w:val="center"/>
              <w:rPr>
                <w:rFonts w:hint="eastAsia"/>
                <w:sz w:val="19"/>
              </w:rPr>
            </w:pPr>
            <w:r>
              <w:rPr>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rFonts w:hint="eastAsia"/>
                <w:sz w:val="19"/>
              </w:rPr>
              <w:t>6</w:t>
            </w:r>
          </w:p>
        </w:tc>
        <w:tc>
          <w:tcPr>
            <w:tcW w:w="1258" w:type="pct"/>
            <w:shd w:val="clear" w:color="auto" w:fill="auto"/>
            <w:noWrap/>
            <w:vAlign w:val="center"/>
          </w:tcPr>
          <w:p>
            <w:pPr>
              <w:spacing w:line="240" w:lineRule="auto"/>
              <w:jc w:val="center"/>
              <w:rPr>
                <w:rFonts w:hint="eastAsia"/>
                <w:sz w:val="19"/>
              </w:rPr>
            </w:pPr>
            <w:r>
              <w:rPr>
                <w:rFonts w:hint="eastAsia"/>
                <w:sz w:val="19"/>
              </w:rPr>
              <w:t>二棚甸子客运站</w:t>
            </w:r>
          </w:p>
        </w:tc>
        <w:tc>
          <w:tcPr>
            <w:tcW w:w="2261" w:type="pct"/>
            <w:shd w:val="clear" w:color="auto" w:fill="auto"/>
            <w:noWrap/>
            <w:vAlign w:val="center"/>
          </w:tcPr>
          <w:p>
            <w:pPr>
              <w:spacing w:line="240" w:lineRule="auto"/>
              <w:jc w:val="center"/>
              <w:rPr>
                <w:rFonts w:hint="eastAsia"/>
                <w:sz w:val="19"/>
              </w:rPr>
            </w:pPr>
            <w:r>
              <w:rPr>
                <w:sz w:val="19"/>
              </w:rPr>
              <w:t>本溪市桓仁满族自治县木通线</w:t>
            </w:r>
          </w:p>
        </w:tc>
        <w:tc>
          <w:tcPr>
            <w:tcW w:w="428" w:type="pct"/>
            <w:shd w:val="clear" w:color="auto" w:fill="auto"/>
            <w:noWrap/>
            <w:vAlign w:val="center"/>
          </w:tcPr>
          <w:p>
            <w:pPr>
              <w:spacing w:line="240" w:lineRule="auto"/>
              <w:jc w:val="center"/>
              <w:rPr>
                <w:rFonts w:hint="eastAsia"/>
                <w:sz w:val="19"/>
              </w:rPr>
            </w:pPr>
            <w:r>
              <w:rPr>
                <w:rFonts w:hint="eastAsia"/>
                <w:sz w:val="19"/>
              </w:rPr>
              <w:t>3</w:t>
            </w:r>
          </w:p>
        </w:tc>
        <w:tc>
          <w:tcPr>
            <w:tcW w:w="372" w:type="pct"/>
            <w:shd w:val="clear" w:color="auto" w:fill="auto"/>
            <w:noWrap/>
            <w:vAlign w:val="center"/>
          </w:tcPr>
          <w:p>
            <w:pPr>
              <w:spacing w:line="240" w:lineRule="auto"/>
              <w:jc w:val="center"/>
              <w:rPr>
                <w:rFonts w:hint="eastAsia"/>
                <w:sz w:val="19"/>
              </w:rPr>
            </w:pPr>
            <w:r>
              <w:rPr>
                <w:rFonts w:hint="eastAsia"/>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rFonts w:hint="eastAsia"/>
                <w:sz w:val="19"/>
              </w:rPr>
              <w:t>7</w:t>
            </w:r>
          </w:p>
        </w:tc>
        <w:tc>
          <w:tcPr>
            <w:tcW w:w="1258" w:type="pct"/>
            <w:shd w:val="clear" w:color="auto" w:fill="auto"/>
            <w:noWrap/>
            <w:vAlign w:val="center"/>
          </w:tcPr>
          <w:p>
            <w:pPr>
              <w:spacing w:line="240" w:lineRule="auto"/>
              <w:jc w:val="center"/>
              <w:rPr>
                <w:rFonts w:hint="eastAsia"/>
                <w:sz w:val="19"/>
              </w:rPr>
            </w:pPr>
            <w:r>
              <w:rPr>
                <w:rFonts w:hint="eastAsia"/>
                <w:sz w:val="19"/>
              </w:rPr>
              <w:t>晓阳村村部健身广场</w:t>
            </w:r>
          </w:p>
        </w:tc>
        <w:tc>
          <w:tcPr>
            <w:tcW w:w="2261" w:type="pct"/>
            <w:shd w:val="clear" w:color="auto" w:fill="auto"/>
            <w:noWrap/>
            <w:vAlign w:val="center"/>
          </w:tcPr>
          <w:p>
            <w:pPr>
              <w:spacing w:line="240" w:lineRule="auto"/>
              <w:jc w:val="center"/>
              <w:rPr>
                <w:rFonts w:hint="eastAsia"/>
                <w:sz w:val="19"/>
              </w:rPr>
            </w:pPr>
            <w:r>
              <w:rPr>
                <w:sz w:val="19"/>
              </w:rPr>
              <w:t>桓仁满族自治县二</w:t>
            </w:r>
            <w:r>
              <w:rPr>
                <w:rFonts w:hint="eastAsia"/>
                <w:sz w:val="19"/>
              </w:rPr>
              <w:t>〇</w:t>
            </w:r>
            <w:r>
              <w:rPr>
                <w:sz w:val="19"/>
              </w:rPr>
              <w:t>一省道</w:t>
            </w:r>
          </w:p>
        </w:tc>
        <w:tc>
          <w:tcPr>
            <w:tcW w:w="428" w:type="pct"/>
            <w:shd w:val="clear" w:color="auto" w:fill="auto"/>
            <w:noWrap/>
            <w:vAlign w:val="center"/>
          </w:tcPr>
          <w:p>
            <w:pPr>
              <w:spacing w:line="240" w:lineRule="auto"/>
              <w:jc w:val="center"/>
              <w:rPr>
                <w:rFonts w:hint="eastAsia"/>
                <w:sz w:val="19"/>
              </w:rPr>
            </w:pPr>
            <w:r>
              <w:rPr>
                <w:rFonts w:hint="eastAsia"/>
                <w:sz w:val="19"/>
              </w:rPr>
              <w:t>3</w:t>
            </w:r>
          </w:p>
        </w:tc>
        <w:tc>
          <w:tcPr>
            <w:tcW w:w="372" w:type="pct"/>
            <w:shd w:val="clear" w:color="auto" w:fill="auto"/>
            <w:noWrap/>
            <w:vAlign w:val="center"/>
          </w:tcPr>
          <w:p>
            <w:pPr>
              <w:spacing w:line="240" w:lineRule="auto"/>
              <w:jc w:val="center"/>
              <w:rPr>
                <w:rFonts w:hint="eastAsia"/>
                <w:sz w:val="19"/>
              </w:rPr>
            </w:pPr>
            <w:r>
              <w:rPr>
                <w:rFonts w:hint="eastAsia"/>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rFonts w:hint="eastAsia"/>
                <w:sz w:val="19"/>
              </w:rPr>
              <w:t>8</w:t>
            </w:r>
          </w:p>
        </w:tc>
        <w:tc>
          <w:tcPr>
            <w:tcW w:w="1258" w:type="pct"/>
            <w:shd w:val="clear" w:color="auto" w:fill="auto"/>
            <w:noWrap/>
            <w:vAlign w:val="center"/>
          </w:tcPr>
          <w:p>
            <w:pPr>
              <w:spacing w:line="240" w:lineRule="auto"/>
              <w:jc w:val="center"/>
              <w:rPr>
                <w:rFonts w:hint="eastAsia"/>
                <w:sz w:val="19"/>
              </w:rPr>
            </w:pPr>
            <w:r>
              <w:rPr>
                <w:rFonts w:hint="eastAsia"/>
                <w:sz w:val="19"/>
              </w:rPr>
              <w:t>高台子村</w:t>
            </w:r>
          </w:p>
        </w:tc>
        <w:tc>
          <w:tcPr>
            <w:tcW w:w="2261" w:type="pct"/>
            <w:shd w:val="clear" w:color="auto" w:fill="auto"/>
            <w:noWrap/>
            <w:vAlign w:val="center"/>
          </w:tcPr>
          <w:p>
            <w:pPr>
              <w:spacing w:line="240" w:lineRule="auto"/>
              <w:jc w:val="center"/>
              <w:rPr>
                <w:rFonts w:hint="eastAsia"/>
                <w:sz w:val="19"/>
              </w:rPr>
            </w:pPr>
            <w:r>
              <w:rPr>
                <w:rFonts w:hint="eastAsia"/>
                <w:sz w:val="19"/>
              </w:rPr>
              <w:t>华来镇</w:t>
            </w:r>
          </w:p>
        </w:tc>
        <w:tc>
          <w:tcPr>
            <w:tcW w:w="428" w:type="pct"/>
            <w:shd w:val="clear" w:color="auto" w:fill="auto"/>
            <w:noWrap/>
            <w:vAlign w:val="center"/>
          </w:tcPr>
          <w:p>
            <w:pPr>
              <w:spacing w:line="240" w:lineRule="auto"/>
              <w:jc w:val="center"/>
              <w:rPr>
                <w:rFonts w:hint="eastAsia"/>
                <w:sz w:val="19"/>
              </w:rPr>
            </w:pPr>
            <w:r>
              <w:rPr>
                <w:rFonts w:hint="eastAsia"/>
                <w:sz w:val="19"/>
              </w:rPr>
              <w:t>3</w:t>
            </w:r>
          </w:p>
        </w:tc>
        <w:tc>
          <w:tcPr>
            <w:tcW w:w="372" w:type="pct"/>
            <w:shd w:val="clear" w:color="auto" w:fill="auto"/>
            <w:noWrap/>
            <w:vAlign w:val="center"/>
          </w:tcPr>
          <w:p>
            <w:pPr>
              <w:spacing w:line="240" w:lineRule="auto"/>
              <w:jc w:val="center"/>
              <w:rPr>
                <w:rFonts w:hint="eastAsia"/>
                <w:sz w:val="19"/>
              </w:rPr>
            </w:pPr>
            <w:r>
              <w:rPr>
                <w:rFonts w:hint="eastAsia"/>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rFonts w:hint="eastAsia"/>
                <w:sz w:val="19"/>
              </w:rPr>
              <w:t>9</w:t>
            </w:r>
          </w:p>
        </w:tc>
        <w:tc>
          <w:tcPr>
            <w:tcW w:w="1258" w:type="pct"/>
            <w:shd w:val="clear" w:color="auto" w:fill="auto"/>
            <w:noWrap/>
            <w:vAlign w:val="center"/>
          </w:tcPr>
          <w:p>
            <w:pPr>
              <w:spacing w:line="240" w:lineRule="auto"/>
              <w:jc w:val="center"/>
              <w:rPr>
                <w:rFonts w:hint="eastAsia"/>
                <w:sz w:val="19"/>
              </w:rPr>
            </w:pPr>
            <w:r>
              <w:rPr>
                <w:rFonts w:hint="eastAsia"/>
                <w:sz w:val="19"/>
              </w:rPr>
              <w:t>朱家堡村</w:t>
            </w:r>
          </w:p>
        </w:tc>
        <w:tc>
          <w:tcPr>
            <w:tcW w:w="2261" w:type="pct"/>
            <w:shd w:val="clear" w:color="auto" w:fill="auto"/>
            <w:noWrap/>
            <w:vAlign w:val="center"/>
          </w:tcPr>
          <w:p>
            <w:pPr>
              <w:spacing w:line="240" w:lineRule="auto"/>
              <w:jc w:val="center"/>
              <w:rPr>
                <w:rFonts w:hint="eastAsia"/>
                <w:sz w:val="19"/>
              </w:rPr>
            </w:pPr>
            <w:r>
              <w:rPr>
                <w:sz w:val="19"/>
              </w:rPr>
              <w:t>本溪市桓仁满族自治县G506</w:t>
            </w:r>
          </w:p>
        </w:tc>
        <w:tc>
          <w:tcPr>
            <w:tcW w:w="428" w:type="pct"/>
            <w:shd w:val="clear" w:color="auto" w:fill="auto"/>
            <w:noWrap/>
            <w:vAlign w:val="center"/>
          </w:tcPr>
          <w:p>
            <w:pPr>
              <w:spacing w:line="240" w:lineRule="auto"/>
              <w:jc w:val="center"/>
              <w:rPr>
                <w:rFonts w:hint="eastAsia"/>
                <w:sz w:val="19"/>
              </w:rPr>
            </w:pPr>
            <w:r>
              <w:rPr>
                <w:rFonts w:hint="eastAsia"/>
                <w:sz w:val="19"/>
              </w:rPr>
              <w:t>3</w:t>
            </w:r>
          </w:p>
        </w:tc>
        <w:tc>
          <w:tcPr>
            <w:tcW w:w="372" w:type="pct"/>
            <w:shd w:val="clear" w:color="auto" w:fill="auto"/>
            <w:noWrap/>
            <w:vAlign w:val="center"/>
          </w:tcPr>
          <w:p>
            <w:pPr>
              <w:spacing w:line="240" w:lineRule="auto"/>
              <w:jc w:val="center"/>
              <w:rPr>
                <w:rFonts w:hint="eastAsia"/>
                <w:sz w:val="19"/>
              </w:rPr>
            </w:pPr>
            <w:r>
              <w:rPr>
                <w:rFonts w:hint="eastAsia"/>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rFonts w:hint="eastAsia"/>
                <w:sz w:val="19"/>
              </w:rPr>
              <w:t>10</w:t>
            </w:r>
          </w:p>
        </w:tc>
        <w:tc>
          <w:tcPr>
            <w:tcW w:w="1258" w:type="pct"/>
            <w:shd w:val="clear" w:color="auto" w:fill="auto"/>
            <w:noWrap/>
            <w:vAlign w:val="center"/>
          </w:tcPr>
          <w:p>
            <w:pPr>
              <w:spacing w:line="240" w:lineRule="auto"/>
              <w:jc w:val="center"/>
              <w:rPr>
                <w:rFonts w:hint="eastAsia"/>
                <w:sz w:val="19"/>
              </w:rPr>
            </w:pPr>
            <w:r>
              <w:rPr>
                <w:rFonts w:hint="eastAsia"/>
                <w:sz w:val="19"/>
              </w:rPr>
              <w:t>望天洞景区</w:t>
            </w:r>
          </w:p>
        </w:tc>
        <w:tc>
          <w:tcPr>
            <w:tcW w:w="2261" w:type="pct"/>
            <w:shd w:val="clear" w:color="auto" w:fill="auto"/>
            <w:noWrap/>
            <w:vAlign w:val="center"/>
          </w:tcPr>
          <w:p>
            <w:pPr>
              <w:spacing w:line="240" w:lineRule="auto"/>
              <w:jc w:val="center"/>
              <w:rPr>
                <w:rFonts w:hint="eastAsia"/>
                <w:sz w:val="19"/>
              </w:rPr>
            </w:pPr>
            <w:r>
              <w:rPr>
                <w:sz w:val="19"/>
              </w:rPr>
              <w:t>桓仁满族自治县201国道旁</w:t>
            </w:r>
          </w:p>
        </w:tc>
        <w:tc>
          <w:tcPr>
            <w:tcW w:w="428" w:type="pct"/>
            <w:shd w:val="clear" w:color="auto" w:fill="auto"/>
            <w:noWrap/>
            <w:vAlign w:val="center"/>
          </w:tcPr>
          <w:p>
            <w:pPr>
              <w:spacing w:line="240" w:lineRule="auto"/>
              <w:jc w:val="center"/>
              <w:rPr>
                <w:rFonts w:hint="eastAsia"/>
                <w:sz w:val="19"/>
              </w:rPr>
            </w:pPr>
            <w:r>
              <w:rPr>
                <w:rFonts w:hint="eastAsia"/>
                <w:sz w:val="19"/>
              </w:rPr>
              <w:t>15</w:t>
            </w:r>
          </w:p>
        </w:tc>
        <w:tc>
          <w:tcPr>
            <w:tcW w:w="372" w:type="pct"/>
            <w:shd w:val="clear" w:color="auto" w:fill="auto"/>
            <w:noWrap/>
            <w:vAlign w:val="center"/>
          </w:tcPr>
          <w:p>
            <w:pPr>
              <w:spacing w:line="240" w:lineRule="auto"/>
              <w:jc w:val="center"/>
              <w:rPr>
                <w:rFonts w:hint="eastAsia"/>
                <w:sz w:val="19"/>
              </w:rPr>
            </w:pPr>
            <w:r>
              <w:rPr>
                <w:rFonts w:hint="eastAsia"/>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w:t>
            </w:r>
            <w:r>
              <w:rPr>
                <w:sz w:val="19"/>
              </w:rPr>
              <w:t>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rFonts w:hint="eastAsia"/>
                <w:sz w:val="19"/>
              </w:rPr>
              <w:t>11</w:t>
            </w:r>
          </w:p>
        </w:tc>
        <w:tc>
          <w:tcPr>
            <w:tcW w:w="1258" w:type="pct"/>
            <w:shd w:val="clear" w:color="auto" w:fill="auto"/>
            <w:noWrap/>
            <w:vAlign w:val="center"/>
          </w:tcPr>
          <w:p>
            <w:pPr>
              <w:spacing w:line="240" w:lineRule="auto"/>
              <w:jc w:val="center"/>
              <w:rPr>
                <w:rFonts w:hint="eastAsia"/>
                <w:sz w:val="19"/>
              </w:rPr>
            </w:pPr>
            <w:r>
              <w:rPr>
                <w:rFonts w:hint="eastAsia"/>
                <w:sz w:val="19"/>
              </w:rPr>
              <w:t>桓仁满族自治县顺达加油站</w:t>
            </w:r>
          </w:p>
        </w:tc>
        <w:tc>
          <w:tcPr>
            <w:tcW w:w="2261" w:type="pct"/>
            <w:shd w:val="clear" w:color="auto" w:fill="auto"/>
            <w:noWrap/>
            <w:vAlign w:val="center"/>
          </w:tcPr>
          <w:p>
            <w:pPr>
              <w:spacing w:line="240" w:lineRule="auto"/>
              <w:jc w:val="center"/>
              <w:rPr>
                <w:rFonts w:hint="eastAsia"/>
                <w:sz w:val="19"/>
              </w:rPr>
            </w:pPr>
            <w:r>
              <w:rPr>
                <w:sz w:val="19"/>
              </w:rPr>
              <w:t>丹霍线</w:t>
            </w:r>
          </w:p>
        </w:tc>
        <w:tc>
          <w:tcPr>
            <w:tcW w:w="428" w:type="pct"/>
            <w:shd w:val="clear" w:color="auto" w:fill="auto"/>
            <w:noWrap/>
            <w:vAlign w:val="center"/>
          </w:tcPr>
          <w:p>
            <w:pPr>
              <w:spacing w:line="240" w:lineRule="auto"/>
              <w:jc w:val="center"/>
              <w:rPr>
                <w:rFonts w:hint="eastAsia"/>
                <w:sz w:val="19"/>
              </w:rPr>
            </w:pPr>
            <w:r>
              <w:rPr>
                <w:rFonts w:hint="eastAsia"/>
                <w:sz w:val="19"/>
              </w:rPr>
              <w:t>3</w:t>
            </w:r>
          </w:p>
        </w:tc>
        <w:tc>
          <w:tcPr>
            <w:tcW w:w="372" w:type="pct"/>
            <w:shd w:val="clear" w:color="auto" w:fill="auto"/>
            <w:noWrap/>
            <w:vAlign w:val="center"/>
          </w:tcPr>
          <w:p>
            <w:pPr>
              <w:spacing w:line="240" w:lineRule="auto"/>
              <w:jc w:val="center"/>
              <w:rPr>
                <w:rFonts w:hint="eastAsia"/>
                <w:sz w:val="19"/>
              </w:rPr>
            </w:pPr>
            <w:r>
              <w:rPr>
                <w:rFonts w:hint="eastAsia"/>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w:t>
            </w:r>
            <w:r>
              <w:rPr>
                <w:sz w:val="19"/>
              </w:rPr>
              <w:t>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rFonts w:hint="eastAsia"/>
                <w:sz w:val="19"/>
              </w:rPr>
              <w:t>12</w:t>
            </w:r>
          </w:p>
        </w:tc>
        <w:tc>
          <w:tcPr>
            <w:tcW w:w="1258" w:type="pct"/>
            <w:shd w:val="clear" w:color="auto" w:fill="auto"/>
            <w:noWrap/>
            <w:vAlign w:val="center"/>
          </w:tcPr>
          <w:p>
            <w:pPr>
              <w:spacing w:line="240" w:lineRule="auto"/>
              <w:jc w:val="center"/>
              <w:rPr>
                <w:rFonts w:hint="eastAsia"/>
                <w:sz w:val="19"/>
              </w:rPr>
            </w:pPr>
            <w:r>
              <w:rPr>
                <w:rFonts w:hint="eastAsia"/>
                <w:sz w:val="19"/>
              </w:rPr>
              <w:t>大牛沟村</w:t>
            </w:r>
          </w:p>
        </w:tc>
        <w:tc>
          <w:tcPr>
            <w:tcW w:w="2261" w:type="pct"/>
            <w:shd w:val="clear" w:color="auto" w:fill="auto"/>
            <w:noWrap/>
            <w:vAlign w:val="center"/>
          </w:tcPr>
          <w:p>
            <w:pPr>
              <w:spacing w:line="240" w:lineRule="auto"/>
              <w:jc w:val="center"/>
              <w:rPr>
                <w:rFonts w:hint="eastAsia"/>
                <w:sz w:val="19"/>
              </w:rPr>
            </w:pPr>
            <w:r>
              <w:rPr>
                <w:rFonts w:hint="eastAsia"/>
                <w:sz w:val="19"/>
              </w:rPr>
              <w:t>北甸子乡</w:t>
            </w:r>
          </w:p>
        </w:tc>
        <w:tc>
          <w:tcPr>
            <w:tcW w:w="428" w:type="pct"/>
            <w:shd w:val="clear" w:color="auto" w:fill="auto"/>
            <w:noWrap/>
            <w:vAlign w:val="center"/>
          </w:tcPr>
          <w:p>
            <w:pPr>
              <w:spacing w:line="240" w:lineRule="auto"/>
              <w:jc w:val="center"/>
              <w:rPr>
                <w:rFonts w:hint="eastAsia"/>
                <w:sz w:val="19"/>
              </w:rPr>
            </w:pPr>
            <w:r>
              <w:rPr>
                <w:rFonts w:hint="eastAsia"/>
                <w:sz w:val="19"/>
              </w:rPr>
              <w:t>3</w:t>
            </w:r>
          </w:p>
        </w:tc>
        <w:tc>
          <w:tcPr>
            <w:tcW w:w="372" w:type="pct"/>
            <w:shd w:val="clear" w:color="auto" w:fill="auto"/>
            <w:noWrap/>
            <w:vAlign w:val="center"/>
          </w:tcPr>
          <w:p>
            <w:pPr>
              <w:spacing w:line="240" w:lineRule="auto"/>
              <w:jc w:val="center"/>
              <w:rPr>
                <w:rFonts w:hint="eastAsia"/>
                <w:sz w:val="19"/>
              </w:rPr>
            </w:pPr>
            <w:r>
              <w:rPr>
                <w:rFonts w:hint="eastAsia"/>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w:t>
            </w:r>
            <w:r>
              <w:rPr>
                <w:sz w:val="19"/>
              </w:rPr>
              <w:t>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rFonts w:hint="eastAsia"/>
                <w:sz w:val="19"/>
              </w:rPr>
              <w:t>13</w:t>
            </w:r>
          </w:p>
        </w:tc>
        <w:tc>
          <w:tcPr>
            <w:tcW w:w="1258" w:type="pct"/>
            <w:shd w:val="clear" w:color="auto" w:fill="auto"/>
            <w:noWrap/>
            <w:vAlign w:val="center"/>
          </w:tcPr>
          <w:p>
            <w:pPr>
              <w:spacing w:line="240" w:lineRule="auto"/>
              <w:jc w:val="center"/>
              <w:rPr>
                <w:rFonts w:hint="eastAsia"/>
                <w:sz w:val="19"/>
              </w:rPr>
            </w:pPr>
            <w:r>
              <w:rPr>
                <w:rFonts w:hint="eastAsia"/>
                <w:sz w:val="19"/>
              </w:rPr>
              <w:t>普乐堡村村部</w:t>
            </w:r>
          </w:p>
        </w:tc>
        <w:tc>
          <w:tcPr>
            <w:tcW w:w="2261" w:type="pct"/>
            <w:shd w:val="clear" w:color="auto" w:fill="auto"/>
            <w:noWrap/>
            <w:vAlign w:val="center"/>
          </w:tcPr>
          <w:p>
            <w:pPr>
              <w:spacing w:line="240" w:lineRule="auto"/>
              <w:jc w:val="center"/>
              <w:rPr>
                <w:rFonts w:hint="eastAsia"/>
                <w:sz w:val="19"/>
              </w:rPr>
            </w:pPr>
            <w:r>
              <w:rPr>
                <w:rFonts w:hint="eastAsia"/>
                <w:sz w:val="19"/>
              </w:rPr>
              <w:t>桓仁满族自治县201国道北50米</w:t>
            </w:r>
          </w:p>
        </w:tc>
        <w:tc>
          <w:tcPr>
            <w:tcW w:w="428" w:type="pct"/>
            <w:shd w:val="clear" w:color="auto" w:fill="auto"/>
            <w:noWrap/>
            <w:vAlign w:val="center"/>
          </w:tcPr>
          <w:p>
            <w:pPr>
              <w:spacing w:line="240" w:lineRule="auto"/>
              <w:jc w:val="center"/>
              <w:rPr>
                <w:rFonts w:hint="eastAsia"/>
                <w:sz w:val="19"/>
              </w:rPr>
            </w:pPr>
            <w:r>
              <w:rPr>
                <w:rFonts w:hint="eastAsia"/>
                <w:sz w:val="19"/>
              </w:rPr>
              <w:t>3</w:t>
            </w:r>
          </w:p>
        </w:tc>
        <w:tc>
          <w:tcPr>
            <w:tcW w:w="372" w:type="pct"/>
            <w:shd w:val="clear" w:color="auto" w:fill="auto"/>
            <w:noWrap/>
            <w:vAlign w:val="center"/>
          </w:tcPr>
          <w:p>
            <w:pPr>
              <w:spacing w:line="240" w:lineRule="auto"/>
              <w:jc w:val="center"/>
              <w:rPr>
                <w:rFonts w:hint="eastAsia"/>
                <w:sz w:val="19"/>
              </w:rPr>
            </w:pPr>
            <w:r>
              <w:rPr>
                <w:rFonts w:hint="eastAsia"/>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rFonts w:hint="eastAsia"/>
                <w:sz w:val="19"/>
              </w:rPr>
              <w:t>14</w:t>
            </w:r>
          </w:p>
        </w:tc>
        <w:tc>
          <w:tcPr>
            <w:tcW w:w="1258" w:type="pct"/>
            <w:shd w:val="clear" w:color="auto" w:fill="auto"/>
            <w:noWrap/>
            <w:vAlign w:val="center"/>
          </w:tcPr>
          <w:p>
            <w:pPr>
              <w:spacing w:line="240" w:lineRule="auto"/>
              <w:jc w:val="center"/>
              <w:rPr>
                <w:rFonts w:hint="eastAsia"/>
                <w:sz w:val="19"/>
              </w:rPr>
            </w:pPr>
            <w:r>
              <w:rPr>
                <w:rFonts w:hint="eastAsia"/>
                <w:sz w:val="19"/>
              </w:rPr>
              <w:t>龙泉村村部</w:t>
            </w:r>
          </w:p>
        </w:tc>
        <w:tc>
          <w:tcPr>
            <w:tcW w:w="2261" w:type="pct"/>
            <w:shd w:val="clear" w:color="auto" w:fill="auto"/>
            <w:noWrap/>
            <w:vAlign w:val="center"/>
          </w:tcPr>
          <w:p>
            <w:pPr>
              <w:spacing w:line="240" w:lineRule="auto"/>
              <w:jc w:val="center"/>
              <w:rPr>
                <w:rFonts w:hint="eastAsia"/>
                <w:sz w:val="19"/>
              </w:rPr>
            </w:pPr>
            <w:r>
              <w:rPr>
                <w:rFonts w:hint="eastAsia"/>
                <w:sz w:val="19"/>
              </w:rPr>
              <w:t>桓仁满族自治县普乐堡镇G201(鹤大线)</w:t>
            </w:r>
          </w:p>
        </w:tc>
        <w:tc>
          <w:tcPr>
            <w:tcW w:w="428" w:type="pct"/>
            <w:shd w:val="clear" w:color="auto" w:fill="auto"/>
            <w:noWrap/>
            <w:vAlign w:val="center"/>
          </w:tcPr>
          <w:p>
            <w:pPr>
              <w:spacing w:line="240" w:lineRule="auto"/>
              <w:jc w:val="center"/>
              <w:rPr>
                <w:rFonts w:hint="eastAsia"/>
                <w:sz w:val="19"/>
              </w:rPr>
            </w:pPr>
            <w:r>
              <w:rPr>
                <w:rFonts w:hint="eastAsia"/>
                <w:sz w:val="19"/>
              </w:rPr>
              <w:t>3</w:t>
            </w:r>
          </w:p>
        </w:tc>
        <w:tc>
          <w:tcPr>
            <w:tcW w:w="372" w:type="pct"/>
            <w:shd w:val="clear" w:color="auto" w:fill="auto"/>
            <w:noWrap/>
            <w:vAlign w:val="center"/>
          </w:tcPr>
          <w:p>
            <w:pPr>
              <w:spacing w:line="240" w:lineRule="auto"/>
              <w:jc w:val="center"/>
              <w:rPr>
                <w:rFonts w:hint="eastAsia"/>
                <w:sz w:val="19"/>
              </w:rPr>
            </w:pPr>
            <w:r>
              <w:rPr>
                <w:rFonts w:hint="eastAsia"/>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rFonts w:hint="eastAsia"/>
                <w:sz w:val="19"/>
              </w:rPr>
              <w:t>15</w:t>
            </w:r>
          </w:p>
        </w:tc>
        <w:tc>
          <w:tcPr>
            <w:tcW w:w="1258" w:type="pct"/>
            <w:shd w:val="clear" w:color="auto" w:fill="auto"/>
            <w:noWrap/>
            <w:vAlign w:val="center"/>
          </w:tcPr>
          <w:p>
            <w:pPr>
              <w:spacing w:line="240" w:lineRule="auto"/>
              <w:jc w:val="center"/>
              <w:rPr>
                <w:rFonts w:hint="eastAsia"/>
                <w:sz w:val="19"/>
              </w:rPr>
            </w:pPr>
            <w:r>
              <w:rPr>
                <w:rFonts w:hint="eastAsia"/>
                <w:sz w:val="19"/>
              </w:rPr>
              <w:t>六道沟村</w:t>
            </w:r>
          </w:p>
        </w:tc>
        <w:tc>
          <w:tcPr>
            <w:tcW w:w="2261" w:type="pct"/>
            <w:shd w:val="clear" w:color="auto" w:fill="auto"/>
            <w:noWrap/>
            <w:vAlign w:val="center"/>
          </w:tcPr>
          <w:p>
            <w:pPr>
              <w:spacing w:line="240" w:lineRule="auto"/>
              <w:jc w:val="center"/>
              <w:rPr>
                <w:rFonts w:hint="eastAsia"/>
                <w:sz w:val="19"/>
              </w:rPr>
            </w:pPr>
            <w:r>
              <w:rPr>
                <w:rFonts w:hint="eastAsia"/>
                <w:sz w:val="19"/>
              </w:rPr>
              <w:t>本溪市桓仁满族自治县黑沟乡</w:t>
            </w:r>
          </w:p>
        </w:tc>
        <w:tc>
          <w:tcPr>
            <w:tcW w:w="428" w:type="pct"/>
            <w:shd w:val="clear" w:color="auto" w:fill="auto"/>
            <w:noWrap/>
            <w:vAlign w:val="center"/>
          </w:tcPr>
          <w:p>
            <w:pPr>
              <w:spacing w:line="240" w:lineRule="auto"/>
              <w:jc w:val="center"/>
              <w:rPr>
                <w:rFonts w:hint="eastAsia"/>
                <w:sz w:val="19"/>
              </w:rPr>
            </w:pPr>
            <w:r>
              <w:rPr>
                <w:rFonts w:hint="eastAsia"/>
                <w:sz w:val="19"/>
              </w:rPr>
              <w:t>3</w:t>
            </w:r>
          </w:p>
        </w:tc>
        <w:tc>
          <w:tcPr>
            <w:tcW w:w="372" w:type="pct"/>
            <w:shd w:val="clear" w:color="auto" w:fill="auto"/>
            <w:noWrap/>
            <w:vAlign w:val="center"/>
          </w:tcPr>
          <w:p>
            <w:pPr>
              <w:spacing w:line="240" w:lineRule="auto"/>
              <w:jc w:val="center"/>
              <w:rPr>
                <w:rFonts w:hint="eastAsia"/>
                <w:sz w:val="19"/>
              </w:rPr>
            </w:pPr>
            <w:r>
              <w:rPr>
                <w:rFonts w:hint="eastAsia"/>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rFonts w:hint="eastAsia"/>
                <w:sz w:val="19"/>
              </w:rPr>
              <w:t>16</w:t>
            </w:r>
          </w:p>
        </w:tc>
        <w:tc>
          <w:tcPr>
            <w:tcW w:w="1258" w:type="pct"/>
            <w:shd w:val="clear" w:color="auto" w:fill="auto"/>
            <w:noWrap/>
            <w:vAlign w:val="center"/>
          </w:tcPr>
          <w:p>
            <w:pPr>
              <w:spacing w:line="240" w:lineRule="auto"/>
              <w:jc w:val="center"/>
              <w:rPr>
                <w:rFonts w:hint="eastAsia"/>
                <w:sz w:val="19"/>
              </w:rPr>
            </w:pPr>
            <w:r>
              <w:rPr>
                <w:rFonts w:hint="eastAsia"/>
                <w:sz w:val="19"/>
              </w:rPr>
              <w:t>五道河子</w:t>
            </w:r>
          </w:p>
        </w:tc>
        <w:tc>
          <w:tcPr>
            <w:tcW w:w="2261" w:type="pct"/>
            <w:shd w:val="clear" w:color="auto" w:fill="auto"/>
            <w:noWrap/>
            <w:vAlign w:val="center"/>
          </w:tcPr>
          <w:p>
            <w:pPr>
              <w:spacing w:line="240" w:lineRule="auto"/>
              <w:jc w:val="center"/>
              <w:rPr>
                <w:rFonts w:hint="eastAsia"/>
                <w:sz w:val="19"/>
              </w:rPr>
            </w:pPr>
            <w:r>
              <w:rPr>
                <w:rFonts w:hint="eastAsia"/>
                <w:sz w:val="19"/>
              </w:rPr>
              <w:t>村委会</w:t>
            </w:r>
          </w:p>
        </w:tc>
        <w:tc>
          <w:tcPr>
            <w:tcW w:w="428" w:type="pct"/>
            <w:shd w:val="clear" w:color="auto" w:fill="auto"/>
            <w:noWrap/>
            <w:vAlign w:val="center"/>
          </w:tcPr>
          <w:p>
            <w:pPr>
              <w:spacing w:line="240" w:lineRule="auto"/>
              <w:jc w:val="center"/>
              <w:rPr>
                <w:rFonts w:hint="eastAsia"/>
                <w:sz w:val="19"/>
              </w:rPr>
            </w:pPr>
            <w:r>
              <w:rPr>
                <w:rFonts w:hint="eastAsia"/>
                <w:sz w:val="19"/>
              </w:rPr>
              <w:t>3</w:t>
            </w:r>
          </w:p>
        </w:tc>
        <w:tc>
          <w:tcPr>
            <w:tcW w:w="372" w:type="pct"/>
            <w:shd w:val="clear" w:color="auto" w:fill="auto"/>
            <w:noWrap/>
            <w:vAlign w:val="center"/>
          </w:tcPr>
          <w:p>
            <w:pPr>
              <w:spacing w:line="240" w:lineRule="auto"/>
              <w:jc w:val="center"/>
              <w:rPr>
                <w:rFonts w:hint="eastAsia"/>
                <w:sz w:val="19"/>
              </w:rPr>
            </w:pPr>
            <w:r>
              <w:rPr>
                <w:rFonts w:hint="eastAsia"/>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rFonts w:hint="eastAsia"/>
                <w:sz w:val="19"/>
              </w:rPr>
              <w:t>17</w:t>
            </w:r>
          </w:p>
        </w:tc>
        <w:tc>
          <w:tcPr>
            <w:tcW w:w="1258" w:type="pct"/>
            <w:shd w:val="clear" w:color="auto" w:fill="auto"/>
            <w:noWrap/>
            <w:vAlign w:val="center"/>
          </w:tcPr>
          <w:p>
            <w:pPr>
              <w:spacing w:line="240" w:lineRule="auto"/>
              <w:jc w:val="center"/>
              <w:rPr>
                <w:rFonts w:hint="eastAsia"/>
                <w:sz w:val="19"/>
              </w:rPr>
            </w:pPr>
            <w:r>
              <w:rPr>
                <w:rFonts w:hint="eastAsia"/>
                <w:sz w:val="19"/>
              </w:rPr>
              <w:t>马鹿泡村村民委员会</w:t>
            </w:r>
          </w:p>
        </w:tc>
        <w:tc>
          <w:tcPr>
            <w:tcW w:w="2261" w:type="pct"/>
            <w:shd w:val="clear" w:color="auto" w:fill="auto"/>
            <w:noWrap/>
            <w:vAlign w:val="center"/>
          </w:tcPr>
          <w:p>
            <w:pPr>
              <w:spacing w:line="240" w:lineRule="auto"/>
              <w:jc w:val="center"/>
              <w:rPr>
                <w:rFonts w:hint="eastAsia"/>
                <w:sz w:val="19"/>
              </w:rPr>
            </w:pPr>
            <w:r>
              <w:rPr>
                <w:rFonts w:hint="eastAsia"/>
                <w:sz w:val="19"/>
              </w:rPr>
              <w:t>村委会</w:t>
            </w:r>
          </w:p>
        </w:tc>
        <w:tc>
          <w:tcPr>
            <w:tcW w:w="428" w:type="pct"/>
            <w:shd w:val="clear" w:color="auto" w:fill="auto"/>
            <w:noWrap/>
            <w:vAlign w:val="center"/>
          </w:tcPr>
          <w:p>
            <w:pPr>
              <w:spacing w:line="240" w:lineRule="auto"/>
              <w:jc w:val="center"/>
              <w:rPr>
                <w:rFonts w:hint="eastAsia"/>
                <w:sz w:val="19"/>
              </w:rPr>
            </w:pPr>
            <w:r>
              <w:rPr>
                <w:rFonts w:hint="eastAsia"/>
                <w:sz w:val="19"/>
              </w:rPr>
              <w:t>3</w:t>
            </w:r>
          </w:p>
        </w:tc>
        <w:tc>
          <w:tcPr>
            <w:tcW w:w="372" w:type="pct"/>
            <w:shd w:val="clear" w:color="auto" w:fill="auto"/>
            <w:noWrap/>
            <w:vAlign w:val="center"/>
          </w:tcPr>
          <w:p>
            <w:pPr>
              <w:spacing w:line="240" w:lineRule="auto"/>
              <w:jc w:val="center"/>
              <w:rPr>
                <w:rFonts w:hint="eastAsia"/>
                <w:sz w:val="19"/>
              </w:rPr>
            </w:pPr>
            <w:r>
              <w:rPr>
                <w:rFonts w:hint="eastAsia"/>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rFonts w:hint="eastAsia"/>
                <w:sz w:val="19"/>
              </w:rPr>
              <w:t>18</w:t>
            </w:r>
          </w:p>
        </w:tc>
        <w:tc>
          <w:tcPr>
            <w:tcW w:w="1258" w:type="pct"/>
            <w:shd w:val="clear" w:color="auto" w:fill="auto"/>
            <w:noWrap/>
            <w:vAlign w:val="center"/>
          </w:tcPr>
          <w:p>
            <w:pPr>
              <w:spacing w:line="240" w:lineRule="auto"/>
              <w:jc w:val="center"/>
              <w:rPr>
                <w:rFonts w:hint="eastAsia"/>
                <w:sz w:val="19"/>
              </w:rPr>
            </w:pPr>
            <w:r>
              <w:rPr>
                <w:rFonts w:hint="eastAsia"/>
                <w:sz w:val="19"/>
              </w:rPr>
              <w:t>枫林谷森林公园</w:t>
            </w:r>
          </w:p>
        </w:tc>
        <w:tc>
          <w:tcPr>
            <w:tcW w:w="2261" w:type="pct"/>
            <w:shd w:val="clear" w:color="auto" w:fill="auto"/>
            <w:noWrap/>
            <w:vAlign w:val="center"/>
          </w:tcPr>
          <w:p>
            <w:pPr>
              <w:spacing w:line="240" w:lineRule="auto"/>
              <w:jc w:val="center"/>
              <w:rPr>
                <w:rFonts w:hint="eastAsia"/>
                <w:sz w:val="19"/>
              </w:rPr>
            </w:pPr>
            <w:r>
              <w:rPr>
                <w:sz w:val="19"/>
              </w:rPr>
              <w:t>本溪市桓仁满族自治县向阳乡G11</w:t>
            </w:r>
          </w:p>
        </w:tc>
        <w:tc>
          <w:tcPr>
            <w:tcW w:w="428" w:type="pct"/>
            <w:shd w:val="clear" w:color="auto" w:fill="auto"/>
            <w:noWrap/>
            <w:vAlign w:val="center"/>
          </w:tcPr>
          <w:p>
            <w:pPr>
              <w:spacing w:line="240" w:lineRule="auto"/>
              <w:jc w:val="center"/>
              <w:rPr>
                <w:rFonts w:hint="eastAsia"/>
                <w:sz w:val="19"/>
              </w:rPr>
            </w:pPr>
            <w:r>
              <w:rPr>
                <w:rFonts w:hint="eastAsia"/>
                <w:sz w:val="19"/>
              </w:rPr>
              <w:t>18</w:t>
            </w:r>
          </w:p>
        </w:tc>
        <w:tc>
          <w:tcPr>
            <w:tcW w:w="372" w:type="pct"/>
            <w:shd w:val="clear" w:color="auto" w:fill="auto"/>
            <w:noWrap/>
            <w:vAlign w:val="center"/>
          </w:tcPr>
          <w:p>
            <w:pPr>
              <w:spacing w:line="240" w:lineRule="auto"/>
              <w:jc w:val="center"/>
              <w:rPr>
                <w:rFonts w:hint="eastAsia"/>
                <w:sz w:val="19"/>
              </w:rPr>
            </w:pPr>
            <w:r>
              <w:rPr>
                <w:rFonts w:hint="eastAsia"/>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rFonts w:hint="eastAsia"/>
                <w:sz w:val="19"/>
              </w:rPr>
              <w:t>19</w:t>
            </w:r>
          </w:p>
        </w:tc>
        <w:tc>
          <w:tcPr>
            <w:tcW w:w="1258" w:type="pct"/>
            <w:shd w:val="clear" w:color="auto" w:fill="auto"/>
            <w:noWrap/>
            <w:vAlign w:val="center"/>
          </w:tcPr>
          <w:p>
            <w:pPr>
              <w:spacing w:line="240" w:lineRule="auto"/>
              <w:jc w:val="center"/>
              <w:rPr>
                <w:rFonts w:hint="eastAsia"/>
                <w:sz w:val="19"/>
              </w:rPr>
            </w:pPr>
            <w:r>
              <w:rPr>
                <w:rFonts w:hint="eastAsia"/>
                <w:sz w:val="19"/>
              </w:rPr>
              <w:t>龙宝城市广场</w:t>
            </w:r>
          </w:p>
        </w:tc>
        <w:tc>
          <w:tcPr>
            <w:tcW w:w="2261" w:type="pct"/>
            <w:shd w:val="clear" w:color="auto" w:fill="auto"/>
            <w:noWrap/>
            <w:vAlign w:val="center"/>
          </w:tcPr>
          <w:p>
            <w:pPr>
              <w:spacing w:line="240" w:lineRule="auto"/>
              <w:jc w:val="center"/>
              <w:rPr>
                <w:rFonts w:hint="eastAsia"/>
                <w:sz w:val="19"/>
              </w:rPr>
            </w:pPr>
            <w:r>
              <w:rPr>
                <w:sz w:val="19"/>
              </w:rPr>
              <w:t>桓仁满族自治县清华路与长江大街交叉口旁</w:t>
            </w:r>
          </w:p>
        </w:tc>
        <w:tc>
          <w:tcPr>
            <w:tcW w:w="428" w:type="pct"/>
            <w:shd w:val="clear" w:color="auto" w:fill="auto"/>
            <w:noWrap/>
            <w:vAlign w:val="center"/>
          </w:tcPr>
          <w:p>
            <w:pPr>
              <w:spacing w:line="240" w:lineRule="auto"/>
              <w:jc w:val="center"/>
              <w:rPr>
                <w:rFonts w:hint="eastAsia"/>
                <w:sz w:val="19"/>
              </w:rPr>
            </w:pPr>
            <w:r>
              <w:rPr>
                <w:rFonts w:hint="eastAsia"/>
                <w:sz w:val="19"/>
              </w:rPr>
              <w:t>6</w:t>
            </w:r>
          </w:p>
        </w:tc>
        <w:tc>
          <w:tcPr>
            <w:tcW w:w="372" w:type="pct"/>
            <w:shd w:val="clear" w:color="auto" w:fill="auto"/>
            <w:noWrap/>
            <w:vAlign w:val="center"/>
          </w:tcPr>
          <w:p>
            <w:pPr>
              <w:spacing w:line="240" w:lineRule="auto"/>
              <w:jc w:val="center"/>
              <w:rPr>
                <w:rFonts w:hint="eastAsia"/>
                <w:sz w:val="19"/>
              </w:rPr>
            </w:pPr>
            <w:r>
              <w:rPr>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rFonts w:hint="eastAsia"/>
                <w:sz w:val="19"/>
              </w:rPr>
              <w:t>20</w:t>
            </w:r>
          </w:p>
        </w:tc>
        <w:tc>
          <w:tcPr>
            <w:tcW w:w="1258" w:type="pct"/>
            <w:shd w:val="clear" w:color="auto" w:fill="auto"/>
            <w:noWrap/>
            <w:vAlign w:val="center"/>
          </w:tcPr>
          <w:p>
            <w:pPr>
              <w:spacing w:line="240" w:lineRule="auto"/>
              <w:jc w:val="center"/>
              <w:rPr>
                <w:rFonts w:hint="eastAsia"/>
                <w:sz w:val="19"/>
              </w:rPr>
            </w:pPr>
            <w:r>
              <w:rPr>
                <w:rFonts w:hint="eastAsia"/>
                <w:sz w:val="19"/>
              </w:rPr>
              <w:t>桓仁满族自治县东铃加油站</w:t>
            </w:r>
          </w:p>
        </w:tc>
        <w:tc>
          <w:tcPr>
            <w:tcW w:w="2261" w:type="pct"/>
            <w:shd w:val="clear" w:color="auto" w:fill="auto"/>
            <w:noWrap/>
            <w:vAlign w:val="center"/>
          </w:tcPr>
          <w:p>
            <w:pPr>
              <w:spacing w:line="240" w:lineRule="auto"/>
              <w:jc w:val="center"/>
              <w:rPr>
                <w:rFonts w:hint="eastAsia"/>
                <w:sz w:val="19"/>
              </w:rPr>
            </w:pPr>
            <w:r>
              <w:rPr>
                <w:sz w:val="19"/>
              </w:rPr>
              <w:t>桓仁满族自治县511县道与509乡道交叉口的东南方向</w:t>
            </w:r>
          </w:p>
        </w:tc>
        <w:tc>
          <w:tcPr>
            <w:tcW w:w="428" w:type="pct"/>
            <w:shd w:val="clear" w:color="auto" w:fill="auto"/>
            <w:noWrap/>
            <w:vAlign w:val="center"/>
          </w:tcPr>
          <w:p>
            <w:pPr>
              <w:spacing w:line="240" w:lineRule="auto"/>
              <w:jc w:val="center"/>
              <w:rPr>
                <w:rFonts w:hint="eastAsia"/>
                <w:sz w:val="19"/>
              </w:rPr>
            </w:pPr>
            <w:r>
              <w:rPr>
                <w:rFonts w:hint="eastAsia"/>
                <w:sz w:val="19"/>
              </w:rPr>
              <w:t>3</w:t>
            </w:r>
          </w:p>
        </w:tc>
        <w:tc>
          <w:tcPr>
            <w:tcW w:w="372" w:type="pct"/>
            <w:shd w:val="clear" w:color="auto" w:fill="auto"/>
            <w:noWrap/>
            <w:vAlign w:val="center"/>
          </w:tcPr>
          <w:p>
            <w:pPr>
              <w:spacing w:line="240" w:lineRule="auto"/>
              <w:jc w:val="center"/>
              <w:rPr>
                <w:rFonts w:hint="eastAsia"/>
                <w:sz w:val="19"/>
              </w:rPr>
            </w:pPr>
            <w:r>
              <w:rPr>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rFonts w:hint="eastAsia"/>
                <w:sz w:val="19"/>
              </w:rPr>
              <w:t>21</w:t>
            </w:r>
          </w:p>
        </w:tc>
        <w:tc>
          <w:tcPr>
            <w:tcW w:w="1258" w:type="pct"/>
            <w:shd w:val="clear" w:color="auto" w:fill="auto"/>
            <w:noWrap/>
            <w:vAlign w:val="center"/>
          </w:tcPr>
          <w:p>
            <w:pPr>
              <w:spacing w:line="240" w:lineRule="auto"/>
              <w:jc w:val="center"/>
              <w:rPr>
                <w:rFonts w:hint="eastAsia"/>
                <w:sz w:val="19"/>
              </w:rPr>
            </w:pPr>
            <w:r>
              <w:rPr>
                <w:rFonts w:hint="eastAsia"/>
                <w:sz w:val="19"/>
              </w:rPr>
              <w:t>双合村村委会</w:t>
            </w:r>
          </w:p>
        </w:tc>
        <w:tc>
          <w:tcPr>
            <w:tcW w:w="2261" w:type="pct"/>
            <w:shd w:val="clear" w:color="auto" w:fill="auto"/>
            <w:noWrap/>
            <w:vAlign w:val="center"/>
          </w:tcPr>
          <w:p>
            <w:pPr>
              <w:spacing w:line="240" w:lineRule="auto"/>
              <w:jc w:val="center"/>
              <w:rPr>
                <w:rFonts w:hint="eastAsia"/>
                <w:sz w:val="19"/>
              </w:rPr>
            </w:pPr>
            <w:r>
              <w:rPr>
                <w:rFonts w:hint="eastAsia"/>
                <w:sz w:val="19"/>
              </w:rPr>
              <w:t>向阳乡</w:t>
            </w:r>
            <w:r>
              <w:rPr>
                <w:sz w:val="19"/>
              </w:rPr>
              <w:t>向双线与585乡道交叉口西50米</w:t>
            </w:r>
          </w:p>
        </w:tc>
        <w:tc>
          <w:tcPr>
            <w:tcW w:w="428" w:type="pct"/>
            <w:shd w:val="clear" w:color="auto" w:fill="auto"/>
            <w:noWrap/>
            <w:vAlign w:val="center"/>
          </w:tcPr>
          <w:p>
            <w:pPr>
              <w:spacing w:line="240" w:lineRule="auto"/>
              <w:jc w:val="center"/>
              <w:rPr>
                <w:rFonts w:hint="eastAsia"/>
                <w:sz w:val="19"/>
              </w:rPr>
            </w:pPr>
            <w:r>
              <w:rPr>
                <w:rFonts w:hint="eastAsia"/>
                <w:sz w:val="19"/>
              </w:rPr>
              <w:t>3</w:t>
            </w:r>
          </w:p>
        </w:tc>
        <w:tc>
          <w:tcPr>
            <w:tcW w:w="372" w:type="pct"/>
            <w:shd w:val="clear" w:color="auto" w:fill="auto"/>
            <w:noWrap/>
            <w:vAlign w:val="center"/>
          </w:tcPr>
          <w:p>
            <w:pPr>
              <w:spacing w:line="240" w:lineRule="auto"/>
              <w:jc w:val="center"/>
              <w:rPr>
                <w:rFonts w:hint="eastAsia"/>
                <w:sz w:val="19"/>
              </w:rPr>
            </w:pPr>
            <w:r>
              <w:rPr>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rFonts w:hint="eastAsia"/>
                <w:sz w:val="19"/>
              </w:rPr>
              <w:t>22</w:t>
            </w:r>
          </w:p>
        </w:tc>
        <w:tc>
          <w:tcPr>
            <w:tcW w:w="1258" w:type="pct"/>
            <w:shd w:val="clear" w:color="auto" w:fill="auto"/>
            <w:noWrap/>
            <w:vAlign w:val="center"/>
          </w:tcPr>
          <w:p>
            <w:pPr>
              <w:spacing w:line="240" w:lineRule="auto"/>
              <w:jc w:val="center"/>
              <w:rPr>
                <w:rFonts w:hint="eastAsia"/>
                <w:sz w:val="19"/>
              </w:rPr>
            </w:pPr>
            <w:r>
              <w:rPr>
                <w:rFonts w:hint="eastAsia"/>
                <w:sz w:val="19"/>
              </w:rPr>
              <w:t>漫谷度假小镇景区</w:t>
            </w:r>
          </w:p>
        </w:tc>
        <w:tc>
          <w:tcPr>
            <w:tcW w:w="2261" w:type="pct"/>
            <w:shd w:val="clear" w:color="auto" w:fill="auto"/>
            <w:noWrap/>
            <w:vAlign w:val="center"/>
          </w:tcPr>
          <w:p>
            <w:pPr>
              <w:spacing w:line="240" w:lineRule="auto"/>
              <w:jc w:val="center"/>
              <w:rPr>
                <w:rFonts w:hint="eastAsia"/>
                <w:sz w:val="19"/>
              </w:rPr>
            </w:pPr>
            <w:r>
              <w:rPr>
                <w:sz w:val="19"/>
              </w:rPr>
              <w:t>桓仁满族自治县枫林谷高速公路口下右转2.5公里</w:t>
            </w:r>
          </w:p>
        </w:tc>
        <w:tc>
          <w:tcPr>
            <w:tcW w:w="428" w:type="pct"/>
            <w:shd w:val="clear" w:color="auto" w:fill="auto"/>
            <w:noWrap/>
            <w:vAlign w:val="center"/>
          </w:tcPr>
          <w:p>
            <w:pPr>
              <w:spacing w:line="240" w:lineRule="auto"/>
              <w:jc w:val="center"/>
              <w:rPr>
                <w:rFonts w:hint="eastAsia"/>
                <w:sz w:val="19"/>
              </w:rPr>
            </w:pPr>
            <w:r>
              <w:rPr>
                <w:rFonts w:hint="eastAsia"/>
                <w:sz w:val="19"/>
              </w:rPr>
              <w:t>6</w:t>
            </w:r>
          </w:p>
        </w:tc>
        <w:tc>
          <w:tcPr>
            <w:tcW w:w="372" w:type="pct"/>
            <w:shd w:val="clear" w:color="auto" w:fill="auto"/>
            <w:noWrap/>
            <w:vAlign w:val="center"/>
          </w:tcPr>
          <w:p>
            <w:pPr>
              <w:spacing w:line="240" w:lineRule="auto"/>
              <w:jc w:val="center"/>
              <w:rPr>
                <w:rFonts w:hint="eastAsia"/>
                <w:sz w:val="19"/>
              </w:rPr>
            </w:pPr>
            <w:r>
              <w:rPr>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w:t>
            </w:r>
            <w:r>
              <w:rPr>
                <w:sz w:val="19"/>
              </w:rPr>
              <w:t>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rFonts w:hint="eastAsia"/>
                <w:sz w:val="19"/>
              </w:rPr>
              <w:t>2</w:t>
            </w:r>
            <w:r>
              <w:rPr>
                <w:sz w:val="19"/>
              </w:rPr>
              <w:t>3</w:t>
            </w:r>
          </w:p>
        </w:tc>
        <w:tc>
          <w:tcPr>
            <w:tcW w:w="1258" w:type="pct"/>
            <w:shd w:val="clear" w:color="auto" w:fill="auto"/>
            <w:noWrap/>
            <w:vAlign w:val="center"/>
          </w:tcPr>
          <w:p>
            <w:pPr>
              <w:spacing w:line="240" w:lineRule="auto"/>
              <w:jc w:val="center"/>
              <w:rPr>
                <w:rFonts w:hint="eastAsia"/>
                <w:sz w:val="19"/>
              </w:rPr>
            </w:pPr>
            <w:r>
              <w:rPr>
                <w:rFonts w:hint="eastAsia"/>
                <w:sz w:val="19"/>
              </w:rPr>
              <w:t>五里甸子村委会</w:t>
            </w:r>
          </w:p>
        </w:tc>
        <w:tc>
          <w:tcPr>
            <w:tcW w:w="2261" w:type="pct"/>
            <w:shd w:val="clear" w:color="auto" w:fill="auto"/>
            <w:noWrap/>
            <w:vAlign w:val="center"/>
          </w:tcPr>
          <w:p>
            <w:pPr>
              <w:spacing w:line="240" w:lineRule="auto"/>
              <w:jc w:val="center"/>
              <w:rPr>
                <w:rFonts w:hint="eastAsia"/>
                <w:sz w:val="19"/>
              </w:rPr>
            </w:pPr>
            <w:r>
              <w:rPr>
                <w:rFonts w:hint="eastAsia"/>
                <w:sz w:val="19"/>
              </w:rPr>
              <w:t>桓仁满族自治县五里甸子镇五里甸子村</w:t>
            </w:r>
          </w:p>
        </w:tc>
        <w:tc>
          <w:tcPr>
            <w:tcW w:w="428" w:type="pct"/>
            <w:shd w:val="clear" w:color="auto" w:fill="auto"/>
            <w:noWrap/>
            <w:vAlign w:val="center"/>
          </w:tcPr>
          <w:p>
            <w:pPr>
              <w:spacing w:line="240" w:lineRule="auto"/>
              <w:jc w:val="center"/>
              <w:rPr>
                <w:rFonts w:hint="eastAsia"/>
                <w:sz w:val="19"/>
              </w:rPr>
            </w:pPr>
            <w:r>
              <w:rPr>
                <w:rFonts w:hint="eastAsia"/>
                <w:sz w:val="19"/>
              </w:rPr>
              <w:t>3</w:t>
            </w:r>
          </w:p>
        </w:tc>
        <w:tc>
          <w:tcPr>
            <w:tcW w:w="372" w:type="pct"/>
            <w:shd w:val="clear" w:color="auto" w:fill="auto"/>
            <w:noWrap/>
            <w:vAlign w:val="center"/>
          </w:tcPr>
          <w:p>
            <w:pPr>
              <w:spacing w:line="240" w:lineRule="auto"/>
              <w:jc w:val="center"/>
              <w:rPr>
                <w:rFonts w:hint="eastAsia"/>
                <w:sz w:val="19"/>
              </w:rPr>
            </w:pPr>
            <w:r>
              <w:rPr>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w:t>
            </w:r>
            <w:r>
              <w:rPr>
                <w:sz w:val="19"/>
              </w:rPr>
              <w:t>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rFonts w:hint="eastAsia"/>
                <w:sz w:val="19"/>
              </w:rPr>
              <w:t>2</w:t>
            </w:r>
            <w:r>
              <w:rPr>
                <w:sz w:val="19"/>
              </w:rPr>
              <w:t>4</w:t>
            </w:r>
          </w:p>
        </w:tc>
        <w:tc>
          <w:tcPr>
            <w:tcW w:w="1258" w:type="pct"/>
            <w:shd w:val="clear" w:color="auto" w:fill="auto"/>
            <w:noWrap/>
            <w:vAlign w:val="center"/>
          </w:tcPr>
          <w:p>
            <w:pPr>
              <w:spacing w:line="240" w:lineRule="auto"/>
              <w:jc w:val="center"/>
              <w:rPr>
                <w:rFonts w:hint="eastAsia"/>
                <w:sz w:val="19"/>
              </w:rPr>
            </w:pPr>
            <w:r>
              <w:rPr>
                <w:rFonts w:hint="eastAsia"/>
                <w:sz w:val="19"/>
              </w:rPr>
              <w:t>大川村村部广场</w:t>
            </w:r>
          </w:p>
        </w:tc>
        <w:tc>
          <w:tcPr>
            <w:tcW w:w="2261" w:type="pct"/>
            <w:shd w:val="clear" w:color="auto" w:fill="auto"/>
            <w:noWrap/>
            <w:vAlign w:val="center"/>
          </w:tcPr>
          <w:p>
            <w:pPr>
              <w:spacing w:line="240" w:lineRule="auto"/>
              <w:jc w:val="center"/>
              <w:rPr>
                <w:rFonts w:hint="eastAsia"/>
                <w:sz w:val="19"/>
              </w:rPr>
            </w:pPr>
            <w:r>
              <w:rPr>
                <w:sz w:val="19"/>
              </w:rPr>
              <w:t>本溪市桓仁满族自治县二长线</w:t>
            </w:r>
          </w:p>
        </w:tc>
        <w:tc>
          <w:tcPr>
            <w:tcW w:w="428" w:type="pct"/>
            <w:shd w:val="clear" w:color="auto" w:fill="auto"/>
            <w:noWrap/>
            <w:vAlign w:val="center"/>
          </w:tcPr>
          <w:p>
            <w:pPr>
              <w:spacing w:line="240" w:lineRule="auto"/>
              <w:jc w:val="center"/>
              <w:rPr>
                <w:rFonts w:hint="eastAsia"/>
                <w:sz w:val="19"/>
              </w:rPr>
            </w:pPr>
            <w:r>
              <w:rPr>
                <w:rFonts w:hint="eastAsia"/>
                <w:sz w:val="19"/>
              </w:rPr>
              <w:t>3</w:t>
            </w:r>
          </w:p>
        </w:tc>
        <w:tc>
          <w:tcPr>
            <w:tcW w:w="372" w:type="pct"/>
            <w:shd w:val="clear" w:color="auto" w:fill="auto"/>
            <w:noWrap/>
            <w:vAlign w:val="center"/>
          </w:tcPr>
          <w:p>
            <w:pPr>
              <w:spacing w:line="240" w:lineRule="auto"/>
              <w:jc w:val="center"/>
              <w:rPr>
                <w:rFonts w:hint="eastAsia"/>
                <w:sz w:val="19"/>
              </w:rPr>
            </w:pPr>
            <w:r>
              <w:rPr>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w:t>
            </w:r>
            <w:r>
              <w:rPr>
                <w:sz w:val="19"/>
              </w:rPr>
              <w:t>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rFonts w:hint="eastAsia"/>
                <w:sz w:val="19"/>
              </w:rPr>
              <w:t>2</w:t>
            </w:r>
            <w:r>
              <w:rPr>
                <w:sz w:val="19"/>
              </w:rPr>
              <w:t>5</w:t>
            </w:r>
          </w:p>
        </w:tc>
        <w:tc>
          <w:tcPr>
            <w:tcW w:w="1258" w:type="pct"/>
            <w:shd w:val="clear" w:color="auto" w:fill="auto"/>
            <w:noWrap/>
            <w:vAlign w:val="center"/>
          </w:tcPr>
          <w:p>
            <w:pPr>
              <w:spacing w:line="240" w:lineRule="auto"/>
              <w:jc w:val="center"/>
              <w:rPr>
                <w:rFonts w:hint="eastAsia"/>
                <w:sz w:val="19"/>
              </w:rPr>
            </w:pPr>
            <w:r>
              <w:rPr>
                <w:rFonts w:hint="eastAsia"/>
                <w:sz w:val="19"/>
              </w:rPr>
              <w:t>秀里村村委会</w:t>
            </w:r>
          </w:p>
        </w:tc>
        <w:tc>
          <w:tcPr>
            <w:tcW w:w="2261" w:type="pct"/>
            <w:shd w:val="clear" w:color="auto" w:fill="auto"/>
            <w:noWrap/>
            <w:vAlign w:val="center"/>
          </w:tcPr>
          <w:p>
            <w:pPr>
              <w:spacing w:line="240" w:lineRule="auto"/>
              <w:jc w:val="center"/>
              <w:rPr>
                <w:rFonts w:hint="eastAsia"/>
                <w:sz w:val="19"/>
              </w:rPr>
            </w:pPr>
            <w:r>
              <w:rPr>
                <w:sz w:val="19"/>
              </w:rPr>
              <w:t>桓仁满族自治县八里甸子镇桓盖线西50米</w:t>
            </w:r>
          </w:p>
        </w:tc>
        <w:tc>
          <w:tcPr>
            <w:tcW w:w="428" w:type="pct"/>
            <w:shd w:val="clear" w:color="auto" w:fill="auto"/>
            <w:noWrap/>
            <w:vAlign w:val="center"/>
          </w:tcPr>
          <w:p>
            <w:pPr>
              <w:spacing w:line="240" w:lineRule="auto"/>
              <w:jc w:val="center"/>
              <w:rPr>
                <w:rFonts w:hint="eastAsia"/>
                <w:sz w:val="19"/>
              </w:rPr>
            </w:pPr>
            <w:r>
              <w:rPr>
                <w:rFonts w:hint="eastAsia"/>
                <w:sz w:val="19"/>
              </w:rPr>
              <w:t>3</w:t>
            </w:r>
          </w:p>
        </w:tc>
        <w:tc>
          <w:tcPr>
            <w:tcW w:w="372" w:type="pct"/>
            <w:shd w:val="clear" w:color="auto" w:fill="auto"/>
            <w:noWrap/>
            <w:vAlign w:val="center"/>
          </w:tcPr>
          <w:p>
            <w:pPr>
              <w:spacing w:line="240" w:lineRule="auto"/>
              <w:jc w:val="center"/>
              <w:rPr>
                <w:rFonts w:hint="eastAsia"/>
                <w:sz w:val="19"/>
              </w:rPr>
            </w:pPr>
            <w:r>
              <w:rPr>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w:t>
            </w:r>
            <w:r>
              <w:rPr>
                <w:sz w:val="19"/>
              </w:rPr>
              <w:t>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rFonts w:hint="eastAsia"/>
                <w:sz w:val="19"/>
              </w:rPr>
              <w:t>2</w:t>
            </w:r>
            <w:r>
              <w:rPr>
                <w:sz w:val="19"/>
              </w:rPr>
              <w:t>6</w:t>
            </w:r>
          </w:p>
        </w:tc>
        <w:tc>
          <w:tcPr>
            <w:tcW w:w="1258" w:type="pct"/>
            <w:shd w:val="clear" w:color="auto" w:fill="auto"/>
            <w:noWrap/>
            <w:vAlign w:val="center"/>
          </w:tcPr>
          <w:p>
            <w:pPr>
              <w:spacing w:line="240" w:lineRule="auto"/>
              <w:jc w:val="center"/>
              <w:rPr>
                <w:rFonts w:hint="eastAsia"/>
                <w:sz w:val="19"/>
              </w:rPr>
            </w:pPr>
            <w:r>
              <w:rPr>
                <w:rFonts w:hint="eastAsia"/>
                <w:sz w:val="19"/>
              </w:rPr>
              <w:t>暖河子村</w:t>
            </w:r>
          </w:p>
        </w:tc>
        <w:tc>
          <w:tcPr>
            <w:tcW w:w="2261" w:type="pct"/>
            <w:shd w:val="clear" w:color="auto" w:fill="auto"/>
            <w:noWrap/>
            <w:vAlign w:val="center"/>
          </w:tcPr>
          <w:p>
            <w:pPr>
              <w:spacing w:line="240" w:lineRule="auto"/>
              <w:jc w:val="center"/>
              <w:rPr>
                <w:rFonts w:hint="eastAsia"/>
                <w:sz w:val="19"/>
              </w:rPr>
            </w:pPr>
            <w:r>
              <w:rPr>
                <w:sz w:val="19"/>
              </w:rPr>
              <w:t>桓仁满族自治县</w:t>
            </w:r>
            <w:r>
              <w:rPr>
                <w:rFonts w:hint="eastAsia"/>
                <w:sz w:val="19"/>
              </w:rPr>
              <w:t>华来镇</w:t>
            </w:r>
            <w:r>
              <w:rPr>
                <w:sz w:val="19"/>
              </w:rPr>
              <w:t>木暖线东50米</w:t>
            </w:r>
          </w:p>
        </w:tc>
        <w:tc>
          <w:tcPr>
            <w:tcW w:w="428" w:type="pct"/>
            <w:shd w:val="clear" w:color="auto" w:fill="auto"/>
            <w:noWrap/>
            <w:vAlign w:val="center"/>
          </w:tcPr>
          <w:p>
            <w:pPr>
              <w:spacing w:line="240" w:lineRule="auto"/>
              <w:jc w:val="center"/>
              <w:rPr>
                <w:rFonts w:hint="eastAsia"/>
                <w:sz w:val="19"/>
              </w:rPr>
            </w:pPr>
            <w:r>
              <w:rPr>
                <w:rFonts w:hint="eastAsia"/>
                <w:sz w:val="19"/>
              </w:rPr>
              <w:t>3</w:t>
            </w:r>
          </w:p>
        </w:tc>
        <w:tc>
          <w:tcPr>
            <w:tcW w:w="372" w:type="pct"/>
            <w:shd w:val="clear" w:color="auto" w:fill="auto"/>
            <w:noWrap/>
            <w:vAlign w:val="center"/>
          </w:tcPr>
          <w:p>
            <w:pPr>
              <w:spacing w:line="240" w:lineRule="auto"/>
              <w:jc w:val="center"/>
              <w:rPr>
                <w:rFonts w:hint="eastAsia"/>
                <w:sz w:val="19"/>
              </w:rPr>
            </w:pPr>
            <w:r>
              <w:rPr>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w:t>
            </w:r>
            <w:r>
              <w:rPr>
                <w:sz w:val="19"/>
              </w:rPr>
              <w:t>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rFonts w:hint="eastAsia"/>
                <w:sz w:val="19"/>
              </w:rPr>
              <w:t>2</w:t>
            </w:r>
            <w:r>
              <w:rPr>
                <w:sz w:val="19"/>
              </w:rPr>
              <w:t>7</w:t>
            </w:r>
          </w:p>
        </w:tc>
        <w:tc>
          <w:tcPr>
            <w:tcW w:w="1258" w:type="pct"/>
            <w:shd w:val="clear" w:color="auto" w:fill="auto"/>
            <w:noWrap/>
            <w:vAlign w:val="center"/>
          </w:tcPr>
          <w:p>
            <w:pPr>
              <w:spacing w:line="240" w:lineRule="auto"/>
              <w:jc w:val="center"/>
              <w:rPr>
                <w:rFonts w:hint="eastAsia"/>
                <w:sz w:val="19"/>
              </w:rPr>
            </w:pPr>
            <w:r>
              <w:rPr>
                <w:rFonts w:hint="eastAsia"/>
                <w:sz w:val="19"/>
              </w:rPr>
              <w:t>川头村</w:t>
            </w:r>
          </w:p>
        </w:tc>
        <w:tc>
          <w:tcPr>
            <w:tcW w:w="2261" w:type="pct"/>
            <w:shd w:val="clear" w:color="auto" w:fill="auto"/>
            <w:noWrap/>
            <w:vAlign w:val="center"/>
          </w:tcPr>
          <w:p>
            <w:pPr>
              <w:spacing w:line="240" w:lineRule="auto"/>
              <w:jc w:val="center"/>
              <w:rPr>
                <w:rFonts w:hint="eastAsia"/>
                <w:sz w:val="19"/>
              </w:rPr>
            </w:pPr>
            <w:r>
              <w:rPr>
                <w:sz w:val="19"/>
              </w:rPr>
              <w:t>本溪市桓仁满族自治县八里甸子镇</w:t>
            </w:r>
          </w:p>
        </w:tc>
        <w:tc>
          <w:tcPr>
            <w:tcW w:w="428" w:type="pct"/>
            <w:shd w:val="clear" w:color="auto" w:fill="auto"/>
            <w:noWrap/>
            <w:vAlign w:val="center"/>
          </w:tcPr>
          <w:p>
            <w:pPr>
              <w:spacing w:line="240" w:lineRule="auto"/>
              <w:jc w:val="center"/>
              <w:rPr>
                <w:rFonts w:hint="eastAsia"/>
                <w:sz w:val="19"/>
              </w:rPr>
            </w:pPr>
            <w:r>
              <w:rPr>
                <w:rFonts w:hint="eastAsia"/>
                <w:sz w:val="19"/>
              </w:rPr>
              <w:t>3</w:t>
            </w:r>
          </w:p>
        </w:tc>
        <w:tc>
          <w:tcPr>
            <w:tcW w:w="372" w:type="pct"/>
            <w:shd w:val="clear" w:color="auto" w:fill="auto"/>
            <w:noWrap/>
            <w:vAlign w:val="center"/>
          </w:tcPr>
          <w:p>
            <w:pPr>
              <w:spacing w:line="240" w:lineRule="auto"/>
              <w:jc w:val="center"/>
              <w:rPr>
                <w:rFonts w:hint="eastAsia"/>
                <w:sz w:val="19"/>
              </w:rPr>
            </w:pPr>
            <w:r>
              <w:rPr>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w:t>
            </w:r>
            <w:r>
              <w:rPr>
                <w:sz w:val="19"/>
              </w:rPr>
              <w:t>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rFonts w:hint="eastAsia"/>
                <w:sz w:val="19"/>
              </w:rPr>
              <w:t>28</w:t>
            </w:r>
          </w:p>
        </w:tc>
        <w:tc>
          <w:tcPr>
            <w:tcW w:w="1258" w:type="pct"/>
            <w:shd w:val="clear" w:color="auto" w:fill="auto"/>
            <w:noWrap/>
            <w:vAlign w:val="center"/>
          </w:tcPr>
          <w:p>
            <w:pPr>
              <w:spacing w:line="240" w:lineRule="auto"/>
              <w:jc w:val="center"/>
              <w:rPr>
                <w:rFonts w:hint="eastAsia"/>
                <w:sz w:val="19"/>
              </w:rPr>
            </w:pPr>
            <w:r>
              <w:rPr>
                <w:rFonts w:hint="eastAsia"/>
                <w:sz w:val="19"/>
              </w:rPr>
              <w:t>桓仁满</w:t>
            </w:r>
            <w:r>
              <w:rPr>
                <w:rFonts w:hint="eastAsia"/>
                <w:sz w:val="19"/>
                <w:lang w:eastAsia="zh-CN"/>
              </w:rPr>
              <w:t>族</w:t>
            </w:r>
            <w:r>
              <w:rPr>
                <w:rFonts w:hint="eastAsia"/>
                <w:sz w:val="19"/>
              </w:rPr>
              <w:t>自治县人防地震局</w:t>
            </w:r>
          </w:p>
        </w:tc>
        <w:tc>
          <w:tcPr>
            <w:tcW w:w="2261" w:type="pct"/>
            <w:shd w:val="clear" w:color="auto" w:fill="auto"/>
            <w:noWrap/>
            <w:vAlign w:val="center"/>
          </w:tcPr>
          <w:p>
            <w:pPr>
              <w:spacing w:line="240" w:lineRule="auto"/>
              <w:jc w:val="center"/>
              <w:rPr>
                <w:rFonts w:hint="eastAsia"/>
                <w:sz w:val="19"/>
              </w:rPr>
            </w:pPr>
            <w:r>
              <w:rPr>
                <w:rFonts w:hint="eastAsia"/>
                <w:sz w:val="19"/>
              </w:rPr>
              <w:t>桓仁满</w:t>
            </w:r>
            <w:r>
              <w:rPr>
                <w:rFonts w:hint="eastAsia"/>
                <w:sz w:val="19"/>
                <w:lang w:eastAsia="zh-CN"/>
              </w:rPr>
              <w:t>族</w:t>
            </w:r>
            <w:r>
              <w:rPr>
                <w:rFonts w:hint="eastAsia"/>
                <w:sz w:val="19"/>
              </w:rPr>
              <w:t>自治县人防地震局</w:t>
            </w:r>
          </w:p>
        </w:tc>
        <w:tc>
          <w:tcPr>
            <w:tcW w:w="428" w:type="pct"/>
            <w:shd w:val="clear" w:color="auto" w:fill="auto"/>
            <w:noWrap/>
            <w:vAlign w:val="center"/>
          </w:tcPr>
          <w:p>
            <w:pPr>
              <w:spacing w:line="240" w:lineRule="auto"/>
              <w:jc w:val="center"/>
              <w:rPr>
                <w:rFonts w:hint="eastAsia"/>
                <w:sz w:val="19"/>
              </w:rPr>
            </w:pPr>
            <w:r>
              <w:rPr>
                <w:rFonts w:hint="eastAsia"/>
                <w:sz w:val="19"/>
              </w:rPr>
              <w:t>12</w:t>
            </w:r>
          </w:p>
        </w:tc>
        <w:tc>
          <w:tcPr>
            <w:tcW w:w="372" w:type="pct"/>
            <w:shd w:val="clear" w:color="auto" w:fill="auto"/>
            <w:noWrap/>
            <w:vAlign w:val="center"/>
          </w:tcPr>
          <w:p>
            <w:pPr>
              <w:spacing w:line="240" w:lineRule="auto"/>
              <w:jc w:val="center"/>
              <w:rPr>
                <w:rFonts w:hint="eastAsia"/>
                <w:sz w:val="19"/>
              </w:rPr>
            </w:pPr>
            <w:r>
              <w:rPr>
                <w:rFonts w:hint="eastAsia"/>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rFonts w:hint="eastAsia"/>
                <w:sz w:val="19"/>
              </w:rPr>
              <w:t>29</w:t>
            </w:r>
          </w:p>
        </w:tc>
        <w:tc>
          <w:tcPr>
            <w:tcW w:w="1258" w:type="pct"/>
            <w:shd w:val="clear" w:color="auto" w:fill="auto"/>
            <w:noWrap/>
            <w:vAlign w:val="center"/>
          </w:tcPr>
          <w:p>
            <w:pPr>
              <w:spacing w:line="240" w:lineRule="auto"/>
              <w:jc w:val="center"/>
              <w:rPr>
                <w:rFonts w:hint="eastAsia"/>
                <w:sz w:val="19"/>
              </w:rPr>
            </w:pPr>
            <w:r>
              <w:rPr>
                <w:rFonts w:hint="eastAsia"/>
                <w:sz w:val="19"/>
              </w:rPr>
              <w:t>雅河客运站对面工业园区</w:t>
            </w:r>
          </w:p>
        </w:tc>
        <w:tc>
          <w:tcPr>
            <w:tcW w:w="2261" w:type="pct"/>
            <w:shd w:val="clear" w:color="auto" w:fill="auto"/>
            <w:noWrap/>
            <w:vAlign w:val="center"/>
          </w:tcPr>
          <w:p>
            <w:pPr>
              <w:spacing w:line="240" w:lineRule="auto"/>
              <w:jc w:val="center"/>
              <w:rPr>
                <w:rFonts w:hint="eastAsia"/>
                <w:sz w:val="19"/>
              </w:rPr>
            </w:pPr>
            <w:r>
              <w:rPr>
                <w:rFonts w:hint="eastAsia"/>
                <w:sz w:val="19"/>
              </w:rPr>
              <w:t>雅河客运站对面工业园区</w:t>
            </w:r>
          </w:p>
        </w:tc>
        <w:tc>
          <w:tcPr>
            <w:tcW w:w="428" w:type="pct"/>
            <w:shd w:val="clear" w:color="auto" w:fill="auto"/>
            <w:noWrap/>
            <w:vAlign w:val="center"/>
          </w:tcPr>
          <w:p>
            <w:pPr>
              <w:spacing w:line="240" w:lineRule="auto"/>
              <w:jc w:val="center"/>
              <w:rPr>
                <w:rFonts w:hint="eastAsia"/>
                <w:sz w:val="19"/>
              </w:rPr>
            </w:pPr>
            <w:r>
              <w:rPr>
                <w:rFonts w:hint="eastAsia"/>
                <w:sz w:val="19"/>
              </w:rPr>
              <w:t>5</w:t>
            </w:r>
          </w:p>
        </w:tc>
        <w:tc>
          <w:tcPr>
            <w:tcW w:w="372" w:type="pct"/>
            <w:shd w:val="clear" w:color="auto" w:fill="auto"/>
            <w:noWrap/>
            <w:vAlign w:val="center"/>
          </w:tcPr>
          <w:p>
            <w:pPr>
              <w:spacing w:line="240" w:lineRule="auto"/>
              <w:jc w:val="center"/>
              <w:rPr>
                <w:rFonts w:hint="eastAsia"/>
                <w:sz w:val="19"/>
              </w:rPr>
            </w:pPr>
            <w:r>
              <w:rPr>
                <w:rFonts w:hint="eastAsia"/>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rFonts w:hint="eastAsia"/>
                <w:sz w:val="19"/>
              </w:rPr>
              <w:t>30</w:t>
            </w:r>
          </w:p>
        </w:tc>
        <w:tc>
          <w:tcPr>
            <w:tcW w:w="1258" w:type="pct"/>
            <w:shd w:val="clear" w:color="auto" w:fill="auto"/>
            <w:noWrap/>
            <w:vAlign w:val="center"/>
          </w:tcPr>
          <w:p>
            <w:pPr>
              <w:spacing w:line="240" w:lineRule="auto"/>
              <w:jc w:val="center"/>
              <w:rPr>
                <w:rFonts w:hint="eastAsia"/>
                <w:sz w:val="19"/>
              </w:rPr>
            </w:pPr>
            <w:r>
              <w:rPr>
                <w:rFonts w:hint="eastAsia"/>
                <w:sz w:val="19"/>
              </w:rPr>
              <w:t>桓仁县西侧桥头附近</w:t>
            </w:r>
          </w:p>
        </w:tc>
        <w:tc>
          <w:tcPr>
            <w:tcW w:w="2261" w:type="pct"/>
            <w:shd w:val="clear" w:color="auto" w:fill="auto"/>
            <w:noWrap/>
            <w:vAlign w:val="center"/>
          </w:tcPr>
          <w:p>
            <w:pPr>
              <w:spacing w:line="240" w:lineRule="auto"/>
              <w:jc w:val="center"/>
              <w:rPr>
                <w:rFonts w:hint="eastAsia"/>
                <w:sz w:val="19"/>
              </w:rPr>
            </w:pPr>
            <w:r>
              <w:rPr>
                <w:rFonts w:hint="eastAsia"/>
                <w:sz w:val="19"/>
              </w:rPr>
              <w:t>桓仁县西侧桥头附近</w:t>
            </w:r>
          </w:p>
        </w:tc>
        <w:tc>
          <w:tcPr>
            <w:tcW w:w="428" w:type="pct"/>
            <w:shd w:val="clear" w:color="auto" w:fill="auto"/>
            <w:noWrap/>
            <w:vAlign w:val="center"/>
          </w:tcPr>
          <w:p>
            <w:pPr>
              <w:spacing w:line="240" w:lineRule="auto"/>
              <w:jc w:val="center"/>
              <w:rPr>
                <w:rFonts w:hint="eastAsia"/>
                <w:sz w:val="19"/>
              </w:rPr>
            </w:pPr>
            <w:r>
              <w:rPr>
                <w:rFonts w:hint="eastAsia"/>
                <w:sz w:val="19"/>
              </w:rPr>
              <w:t>5</w:t>
            </w:r>
          </w:p>
        </w:tc>
        <w:tc>
          <w:tcPr>
            <w:tcW w:w="372" w:type="pct"/>
            <w:shd w:val="clear" w:color="auto" w:fill="auto"/>
            <w:noWrap/>
            <w:vAlign w:val="center"/>
          </w:tcPr>
          <w:p>
            <w:pPr>
              <w:spacing w:line="240" w:lineRule="auto"/>
              <w:jc w:val="center"/>
              <w:rPr>
                <w:rFonts w:hint="eastAsia"/>
                <w:sz w:val="19"/>
              </w:rPr>
            </w:pPr>
            <w:r>
              <w:rPr>
                <w:rFonts w:hint="eastAsia"/>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rFonts w:hint="eastAsia"/>
                <w:sz w:val="19"/>
              </w:rPr>
              <w:t>31</w:t>
            </w:r>
          </w:p>
        </w:tc>
        <w:tc>
          <w:tcPr>
            <w:tcW w:w="1258" w:type="pct"/>
            <w:shd w:val="clear" w:color="auto" w:fill="auto"/>
            <w:noWrap/>
            <w:vAlign w:val="center"/>
          </w:tcPr>
          <w:p>
            <w:pPr>
              <w:spacing w:line="240" w:lineRule="auto"/>
              <w:jc w:val="center"/>
              <w:rPr>
                <w:rFonts w:hint="eastAsia"/>
                <w:sz w:val="19"/>
              </w:rPr>
            </w:pPr>
            <w:r>
              <w:rPr>
                <w:rFonts w:hint="eastAsia"/>
                <w:sz w:val="19"/>
              </w:rPr>
              <w:t>五女山开发区南江园区健康集团停车场</w:t>
            </w:r>
          </w:p>
        </w:tc>
        <w:tc>
          <w:tcPr>
            <w:tcW w:w="2261" w:type="pct"/>
            <w:shd w:val="clear" w:color="auto" w:fill="auto"/>
            <w:noWrap/>
            <w:vAlign w:val="center"/>
          </w:tcPr>
          <w:p>
            <w:pPr>
              <w:spacing w:line="240" w:lineRule="auto"/>
              <w:jc w:val="center"/>
              <w:rPr>
                <w:rFonts w:hint="eastAsia"/>
                <w:sz w:val="19"/>
              </w:rPr>
            </w:pPr>
            <w:r>
              <w:rPr>
                <w:rFonts w:hint="eastAsia"/>
                <w:sz w:val="19"/>
              </w:rPr>
              <w:t>五女山开发区南江园区健康集团停车场</w:t>
            </w:r>
          </w:p>
        </w:tc>
        <w:tc>
          <w:tcPr>
            <w:tcW w:w="428" w:type="pct"/>
            <w:shd w:val="clear" w:color="auto" w:fill="auto"/>
            <w:noWrap/>
            <w:vAlign w:val="center"/>
          </w:tcPr>
          <w:p>
            <w:pPr>
              <w:spacing w:line="240" w:lineRule="auto"/>
              <w:jc w:val="center"/>
              <w:rPr>
                <w:rFonts w:hint="eastAsia"/>
                <w:sz w:val="19"/>
              </w:rPr>
            </w:pPr>
            <w:r>
              <w:rPr>
                <w:rFonts w:hint="eastAsia"/>
                <w:sz w:val="19"/>
              </w:rPr>
              <w:t>6</w:t>
            </w:r>
          </w:p>
        </w:tc>
        <w:tc>
          <w:tcPr>
            <w:tcW w:w="372" w:type="pct"/>
            <w:shd w:val="clear" w:color="auto" w:fill="auto"/>
            <w:noWrap/>
            <w:vAlign w:val="center"/>
          </w:tcPr>
          <w:p>
            <w:pPr>
              <w:spacing w:line="240" w:lineRule="auto"/>
              <w:jc w:val="center"/>
              <w:rPr>
                <w:rFonts w:hint="eastAsia"/>
                <w:sz w:val="19"/>
              </w:rPr>
            </w:pPr>
            <w:r>
              <w:rPr>
                <w:rFonts w:hint="eastAsia"/>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2026</w:t>
            </w:r>
          </w:p>
        </w:tc>
      </w:tr>
    </w:tbl>
    <w:p>
      <w:pPr>
        <w:spacing w:line="240" w:lineRule="auto"/>
        <w:jc w:val="center"/>
        <w:rPr>
          <w:rFonts w:hint="eastAsia"/>
        </w:rPr>
      </w:pPr>
      <w:r>
        <w:drawing>
          <wp:inline distT="0" distB="0" distL="0" distR="0">
            <wp:extent cx="5274310" cy="3729990"/>
            <wp:effectExtent l="0" t="0" r="2540" b="3810"/>
            <wp:docPr id="19693379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337965" name="图片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274310" cy="3729990"/>
                    </a:xfrm>
                    <a:prstGeom prst="rect">
                      <a:avLst/>
                    </a:prstGeom>
                    <a:noFill/>
                    <a:ln>
                      <a:noFill/>
                    </a:ln>
                  </pic:spPr>
                </pic:pic>
              </a:graphicData>
            </a:graphic>
          </wp:inline>
        </w:drawing>
      </w:r>
    </w:p>
    <w:p>
      <w:pPr>
        <w:pStyle w:val="8"/>
      </w:pPr>
      <w:r>
        <w:rPr>
          <w:rFonts w:hint="eastAsia"/>
        </w:rPr>
        <w:t>桓仁满族自治县充电设施2</w:t>
      </w:r>
      <w:r>
        <w:t>028</w:t>
      </w:r>
      <w:r>
        <w:rPr>
          <w:rFonts w:hint="eastAsia"/>
        </w:rPr>
        <w:t>年服务半径</w:t>
      </w:r>
    </w:p>
    <w:p>
      <w:pPr>
        <w:pStyle w:val="5"/>
        <w:numPr>
          <w:ilvl w:val="3"/>
          <w:numId w:val="11"/>
        </w:numPr>
      </w:pPr>
      <w:r>
        <w:rPr>
          <w:bCs/>
          <w:sz w:val="32"/>
          <w:szCs w:val="32"/>
        </w:rPr>
        <w:t>2024</w:t>
      </w:r>
      <w:r>
        <w:rPr>
          <w:rFonts w:hint="eastAsia"/>
          <w:bCs/>
          <w:sz w:val="32"/>
          <w:szCs w:val="32"/>
        </w:rPr>
        <w:t>年公共充电设施规划</w:t>
      </w:r>
    </w:p>
    <w:p>
      <w:pPr>
        <w:spacing w:line="360" w:lineRule="auto"/>
        <w:ind w:firstLine="560" w:firstLineChars="200"/>
        <w:jc w:val="left"/>
        <w:rPr>
          <w:rFonts w:hint="eastAsia"/>
        </w:rPr>
      </w:pPr>
      <w:r>
        <w:rPr>
          <w:rFonts w:hint="eastAsia" w:cs="仿宋_GB2312"/>
          <w:szCs w:val="22"/>
        </w:rPr>
        <w:t>2</w:t>
      </w:r>
      <w:r>
        <w:rPr>
          <w:rFonts w:cs="仿宋_GB2312"/>
          <w:szCs w:val="22"/>
        </w:rPr>
        <w:t>024</w:t>
      </w:r>
      <w:r>
        <w:rPr>
          <w:rFonts w:hint="eastAsia" w:cs="仿宋_GB2312"/>
          <w:szCs w:val="22"/>
        </w:rPr>
        <w:t>年桓仁满族自治县</w:t>
      </w:r>
      <w:r>
        <w:rPr>
          <w:rFonts w:cs="仿宋_GB2312"/>
          <w:szCs w:val="22"/>
        </w:rPr>
        <w:t>规划新建公共充电站2座，新增公共充电桩33个</w:t>
      </w:r>
      <w:r>
        <w:rPr>
          <w:rFonts w:hint="eastAsia"/>
        </w:rPr>
        <w:t>（充电枪33个）</w:t>
      </w:r>
      <w:r>
        <w:rPr>
          <w:rFonts w:cs="仿宋_GB2312"/>
          <w:szCs w:val="22"/>
        </w:rPr>
        <w:t>，</w:t>
      </w:r>
      <w:r>
        <w:rPr>
          <w:rFonts w:hint="eastAsia" w:cs="仿宋_GB2312"/>
          <w:szCs w:val="22"/>
        </w:rPr>
        <w:t>全部为</w:t>
      </w:r>
      <w:r>
        <w:rPr>
          <w:rFonts w:cs="仿宋_GB2312"/>
          <w:szCs w:val="22"/>
        </w:rPr>
        <w:t>快充充电桩。</w:t>
      </w:r>
      <w:r>
        <w:rPr>
          <w:rFonts w:hint="eastAsia" w:cs="仿宋_GB2312"/>
          <w:szCs w:val="22"/>
        </w:rPr>
        <w:t>桓仁满族自治县2</w:t>
      </w:r>
      <w:r>
        <w:rPr>
          <w:rFonts w:cs="仿宋_GB2312"/>
          <w:szCs w:val="22"/>
        </w:rPr>
        <w:t>024</w:t>
      </w:r>
      <w:r>
        <w:rPr>
          <w:rFonts w:hint="eastAsia" w:cs="仿宋_GB2312"/>
          <w:szCs w:val="22"/>
        </w:rPr>
        <w:t>年</w:t>
      </w:r>
      <w:r>
        <w:rPr>
          <w:rFonts w:cs="仿宋_GB2312"/>
          <w:szCs w:val="22"/>
        </w:rPr>
        <w:t>规划公共充电设施站点如下所示。</w:t>
      </w:r>
      <w:r>
        <w:drawing>
          <wp:inline distT="0" distB="0" distL="0" distR="0">
            <wp:extent cx="5274310" cy="3729355"/>
            <wp:effectExtent l="0" t="0" r="2540" b="4445"/>
            <wp:docPr id="213317610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76108" name="图片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5274310" cy="3729355"/>
                    </a:xfrm>
                    <a:prstGeom prst="rect">
                      <a:avLst/>
                    </a:prstGeom>
                    <a:noFill/>
                    <a:ln>
                      <a:noFill/>
                    </a:ln>
                  </pic:spPr>
                </pic:pic>
              </a:graphicData>
            </a:graphic>
          </wp:inline>
        </w:drawing>
      </w:r>
      <w:r>
        <w:t xml:space="preserve"> </w:t>
      </w:r>
    </w:p>
    <w:p>
      <w:pPr>
        <w:pStyle w:val="8"/>
      </w:pPr>
      <w:r>
        <w:rPr>
          <w:rFonts w:hint="eastAsia"/>
        </w:rPr>
        <w:t>桓仁满族自治县2</w:t>
      </w:r>
      <w:r>
        <w:t>024</w:t>
      </w:r>
      <w:r>
        <w:rPr>
          <w:rFonts w:hint="eastAsia"/>
        </w:rPr>
        <w:t>年</w:t>
      </w:r>
      <w:r>
        <w:t>公共充电设施规划</w:t>
      </w:r>
      <w:r>
        <w:rPr>
          <w:rFonts w:hint="eastAsia"/>
        </w:rPr>
        <w:t>点位</w:t>
      </w:r>
      <w:r>
        <w:t>布局</w:t>
      </w:r>
    </w:p>
    <w:p>
      <w:pPr>
        <w:pStyle w:val="7"/>
      </w:pPr>
      <w:r>
        <w:rPr>
          <w:rFonts w:hint="eastAsia"/>
        </w:rPr>
        <w:t>桓仁满族自治县2</w:t>
      </w:r>
      <w:r>
        <w:t>024</w:t>
      </w:r>
      <w:r>
        <w:rPr>
          <w:rFonts w:hint="eastAsia"/>
        </w:rPr>
        <w:t>年</w:t>
      </w:r>
      <w:r>
        <w:t>公共充电设施规划项目表</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444"/>
        <w:gridCol w:w="2197"/>
        <w:gridCol w:w="3509"/>
        <w:gridCol w:w="707"/>
        <w:gridCol w:w="679"/>
        <w:gridCol w:w="818"/>
        <w:gridCol w:w="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266" w:type="pct"/>
            <w:vMerge w:val="restart"/>
            <w:shd w:val="clear" w:color="auto" w:fill="D9D9D9"/>
            <w:noWrap/>
            <w:vAlign w:val="center"/>
          </w:tcPr>
          <w:p>
            <w:pPr>
              <w:spacing w:line="240" w:lineRule="auto"/>
              <w:jc w:val="center"/>
              <w:rPr>
                <w:rFonts w:hint="eastAsia"/>
                <w:b/>
                <w:sz w:val="19"/>
              </w:rPr>
            </w:pPr>
            <w:r>
              <w:rPr>
                <w:rFonts w:hint="eastAsia"/>
                <w:b/>
                <w:sz w:val="19"/>
              </w:rPr>
              <w:t>序号</w:t>
            </w:r>
          </w:p>
        </w:tc>
        <w:tc>
          <w:tcPr>
            <w:tcW w:w="1314" w:type="pct"/>
            <w:vMerge w:val="restart"/>
            <w:shd w:val="clear" w:color="auto" w:fill="D9D9D9"/>
            <w:noWrap/>
            <w:vAlign w:val="center"/>
          </w:tcPr>
          <w:p>
            <w:pPr>
              <w:spacing w:line="240" w:lineRule="auto"/>
              <w:jc w:val="center"/>
              <w:rPr>
                <w:rFonts w:hint="eastAsia"/>
                <w:b/>
                <w:sz w:val="19"/>
              </w:rPr>
            </w:pPr>
            <w:r>
              <w:rPr>
                <w:rFonts w:hint="eastAsia"/>
                <w:b/>
                <w:sz w:val="19"/>
              </w:rPr>
              <w:t>停车场名称</w:t>
            </w:r>
          </w:p>
        </w:tc>
        <w:tc>
          <w:tcPr>
            <w:tcW w:w="2098" w:type="pct"/>
            <w:vMerge w:val="restart"/>
            <w:shd w:val="clear" w:color="auto" w:fill="D9D9D9"/>
            <w:noWrap/>
            <w:vAlign w:val="center"/>
          </w:tcPr>
          <w:p>
            <w:pPr>
              <w:spacing w:line="240" w:lineRule="auto"/>
              <w:jc w:val="center"/>
              <w:rPr>
                <w:rFonts w:hint="eastAsia"/>
                <w:b/>
                <w:sz w:val="19"/>
              </w:rPr>
            </w:pPr>
            <w:r>
              <w:rPr>
                <w:rFonts w:hint="eastAsia"/>
                <w:b/>
                <w:sz w:val="19"/>
              </w:rPr>
              <w:t>具体位置</w:t>
            </w:r>
          </w:p>
        </w:tc>
        <w:tc>
          <w:tcPr>
            <w:tcW w:w="829" w:type="pct"/>
            <w:gridSpan w:val="2"/>
            <w:shd w:val="clear" w:color="auto" w:fill="D9D9D9"/>
            <w:vAlign w:val="center"/>
          </w:tcPr>
          <w:p>
            <w:pPr>
              <w:spacing w:line="240" w:lineRule="auto"/>
              <w:jc w:val="center"/>
              <w:rPr>
                <w:rFonts w:hint="eastAsia"/>
                <w:b/>
                <w:sz w:val="19"/>
              </w:rPr>
            </w:pPr>
            <w:r>
              <w:rPr>
                <w:rFonts w:hint="eastAsia"/>
                <w:b/>
                <w:sz w:val="19"/>
              </w:rPr>
              <w:t>设置充电桩设施数量（台）</w:t>
            </w:r>
          </w:p>
        </w:tc>
        <w:tc>
          <w:tcPr>
            <w:tcW w:w="494" w:type="pct"/>
            <w:gridSpan w:val="2"/>
            <w:shd w:val="clear" w:color="auto" w:fill="D9D9D9"/>
            <w:noWrap/>
            <w:vAlign w:val="center"/>
          </w:tcPr>
          <w:p>
            <w:pPr>
              <w:spacing w:line="240" w:lineRule="auto"/>
              <w:jc w:val="center"/>
              <w:rPr>
                <w:rFonts w:hint="eastAsia"/>
                <w:b/>
                <w:sz w:val="19"/>
              </w:rPr>
            </w:pPr>
            <w:r>
              <w:rPr>
                <w:rFonts w:hint="eastAsia"/>
                <w:b/>
                <w:sz w:val="19"/>
              </w:rPr>
              <w:t>建设年份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gridAfter w:val="1"/>
          <w:wAfter w:w="5" w:type="pct"/>
          <w:cantSplit/>
          <w:tblHeader/>
          <w:jc w:val="center"/>
        </w:trPr>
        <w:tc>
          <w:tcPr>
            <w:tcW w:w="266" w:type="pct"/>
            <w:vMerge w:val="continue"/>
            <w:shd w:val="clear" w:color="auto" w:fill="D9D9D9"/>
            <w:vAlign w:val="center"/>
          </w:tcPr>
          <w:p>
            <w:pPr>
              <w:spacing w:line="240" w:lineRule="auto"/>
              <w:jc w:val="center"/>
              <w:rPr>
                <w:rFonts w:hint="eastAsia"/>
                <w:b/>
                <w:sz w:val="19"/>
              </w:rPr>
            </w:pPr>
          </w:p>
        </w:tc>
        <w:tc>
          <w:tcPr>
            <w:tcW w:w="1314" w:type="pct"/>
            <w:vMerge w:val="continue"/>
            <w:shd w:val="clear" w:color="auto" w:fill="D9D9D9"/>
            <w:vAlign w:val="center"/>
          </w:tcPr>
          <w:p>
            <w:pPr>
              <w:spacing w:line="240" w:lineRule="auto"/>
              <w:jc w:val="center"/>
              <w:rPr>
                <w:rFonts w:hint="eastAsia"/>
                <w:b/>
                <w:sz w:val="19"/>
              </w:rPr>
            </w:pPr>
          </w:p>
        </w:tc>
        <w:tc>
          <w:tcPr>
            <w:tcW w:w="2098" w:type="pct"/>
            <w:vMerge w:val="continue"/>
            <w:shd w:val="clear" w:color="auto" w:fill="D9D9D9"/>
            <w:vAlign w:val="center"/>
          </w:tcPr>
          <w:p>
            <w:pPr>
              <w:spacing w:line="240" w:lineRule="auto"/>
              <w:jc w:val="center"/>
              <w:rPr>
                <w:rFonts w:hint="eastAsia"/>
                <w:b/>
                <w:sz w:val="19"/>
              </w:rPr>
            </w:pPr>
          </w:p>
        </w:tc>
        <w:tc>
          <w:tcPr>
            <w:tcW w:w="423" w:type="pct"/>
            <w:shd w:val="clear" w:color="auto" w:fill="D9D9D9"/>
            <w:noWrap/>
            <w:vAlign w:val="center"/>
          </w:tcPr>
          <w:p>
            <w:pPr>
              <w:spacing w:line="240" w:lineRule="auto"/>
              <w:jc w:val="center"/>
              <w:rPr>
                <w:rFonts w:hint="eastAsia"/>
                <w:b/>
                <w:sz w:val="19"/>
              </w:rPr>
            </w:pPr>
            <w:r>
              <w:rPr>
                <w:rFonts w:hint="eastAsia"/>
                <w:b/>
                <w:sz w:val="19"/>
              </w:rPr>
              <w:t>快充</w:t>
            </w:r>
          </w:p>
        </w:tc>
        <w:tc>
          <w:tcPr>
            <w:tcW w:w="406" w:type="pct"/>
            <w:shd w:val="clear" w:color="auto" w:fill="D9D9D9"/>
            <w:noWrap/>
            <w:vAlign w:val="center"/>
          </w:tcPr>
          <w:p>
            <w:pPr>
              <w:spacing w:line="240" w:lineRule="auto"/>
              <w:jc w:val="center"/>
              <w:rPr>
                <w:rFonts w:hint="eastAsia"/>
                <w:b/>
                <w:sz w:val="19"/>
              </w:rPr>
            </w:pPr>
            <w:r>
              <w:rPr>
                <w:rFonts w:hint="eastAsia"/>
                <w:b/>
                <w:sz w:val="19"/>
              </w:rPr>
              <w:t>慢充</w:t>
            </w:r>
          </w:p>
        </w:tc>
        <w:tc>
          <w:tcPr>
            <w:tcW w:w="489" w:type="pct"/>
            <w:shd w:val="clear" w:color="auto" w:fill="D9D9D9"/>
            <w:vAlign w:val="center"/>
          </w:tcPr>
          <w:p>
            <w:pPr>
              <w:spacing w:line="240" w:lineRule="auto"/>
              <w:jc w:val="center"/>
              <w:rPr>
                <w:rFonts w:hint="eastAsia"/>
                <w:b/>
                <w:sz w:val="19"/>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gridAfter w:val="1"/>
          <w:wAfter w:w="5" w:type="pct"/>
          <w:cantSplit/>
          <w:jc w:val="center"/>
        </w:trPr>
        <w:tc>
          <w:tcPr>
            <w:tcW w:w="266" w:type="pct"/>
            <w:shd w:val="clear" w:color="auto" w:fill="auto"/>
            <w:noWrap/>
            <w:vAlign w:val="center"/>
          </w:tcPr>
          <w:p>
            <w:pPr>
              <w:spacing w:line="240" w:lineRule="auto"/>
              <w:jc w:val="center"/>
              <w:rPr>
                <w:rFonts w:hint="eastAsia"/>
                <w:sz w:val="19"/>
              </w:rPr>
            </w:pPr>
            <w:r>
              <w:rPr>
                <w:rFonts w:ascii="Times New Roman" w:hAnsi="Times New Roman" w:eastAsia="等线"/>
                <w:color w:val="000000"/>
                <w:kern w:val="0"/>
                <w:sz w:val="19"/>
                <w:szCs w:val="19"/>
              </w:rPr>
              <w:t>1</w:t>
            </w:r>
          </w:p>
        </w:tc>
        <w:tc>
          <w:tcPr>
            <w:tcW w:w="1314" w:type="pct"/>
            <w:shd w:val="clear" w:color="auto" w:fill="auto"/>
            <w:noWrap/>
            <w:vAlign w:val="center"/>
          </w:tcPr>
          <w:p>
            <w:pPr>
              <w:spacing w:line="240" w:lineRule="auto"/>
              <w:jc w:val="center"/>
              <w:rPr>
                <w:rFonts w:ascii="Times New Roman" w:hAnsi="Times New Roman" w:eastAsia="等线"/>
                <w:color w:val="000000"/>
                <w:kern w:val="0"/>
                <w:sz w:val="19"/>
                <w:szCs w:val="19"/>
              </w:rPr>
            </w:pPr>
            <w:r>
              <w:rPr>
                <w:rFonts w:hint="eastAsia" w:ascii="Times New Roman" w:hAnsi="Times New Roman" w:eastAsia="等线"/>
                <w:color w:val="000000"/>
                <w:kern w:val="0"/>
                <w:sz w:val="19"/>
                <w:szCs w:val="19"/>
              </w:rPr>
              <w:t>五女山山城</w:t>
            </w:r>
          </w:p>
        </w:tc>
        <w:tc>
          <w:tcPr>
            <w:tcW w:w="2098" w:type="pct"/>
            <w:shd w:val="clear" w:color="auto" w:fill="auto"/>
            <w:noWrap/>
            <w:vAlign w:val="center"/>
          </w:tcPr>
          <w:p>
            <w:pPr>
              <w:spacing w:line="240" w:lineRule="auto"/>
              <w:jc w:val="center"/>
              <w:rPr>
                <w:rFonts w:ascii="Times New Roman" w:hAnsi="Times New Roman" w:eastAsia="等线"/>
                <w:color w:val="000000"/>
                <w:kern w:val="0"/>
                <w:sz w:val="19"/>
                <w:szCs w:val="19"/>
              </w:rPr>
            </w:pPr>
            <w:r>
              <w:rPr>
                <w:rFonts w:hint="eastAsia" w:ascii="Times New Roman" w:hAnsi="Times New Roman" w:eastAsia="等线"/>
                <w:color w:val="000000"/>
                <w:kern w:val="0"/>
                <w:sz w:val="19"/>
                <w:szCs w:val="19"/>
              </w:rPr>
              <w:t>桓仁满族自治县北侧8公里处浑江西北岸</w:t>
            </w:r>
          </w:p>
        </w:tc>
        <w:tc>
          <w:tcPr>
            <w:tcW w:w="423" w:type="pct"/>
            <w:shd w:val="clear" w:color="auto" w:fill="auto"/>
            <w:noWrap/>
            <w:vAlign w:val="center"/>
          </w:tcPr>
          <w:p>
            <w:pPr>
              <w:spacing w:line="240" w:lineRule="auto"/>
              <w:jc w:val="center"/>
              <w:rPr>
                <w:rFonts w:ascii="Times New Roman" w:hAnsi="Times New Roman" w:eastAsia="等线"/>
                <w:color w:val="000000"/>
                <w:kern w:val="0"/>
                <w:sz w:val="19"/>
                <w:szCs w:val="19"/>
              </w:rPr>
            </w:pPr>
            <w:r>
              <w:rPr>
                <w:rFonts w:hint="eastAsia" w:ascii="Times New Roman" w:hAnsi="Times New Roman" w:eastAsia="等线"/>
                <w:color w:val="000000"/>
                <w:kern w:val="0"/>
                <w:sz w:val="19"/>
                <w:szCs w:val="19"/>
              </w:rPr>
              <w:t>18</w:t>
            </w:r>
          </w:p>
        </w:tc>
        <w:tc>
          <w:tcPr>
            <w:tcW w:w="406" w:type="pct"/>
            <w:shd w:val="clear" w:color="auto" w:fill="auto"/>
            <w:noWrap/>
            <w:vAlign w:val="center"/>
          </w:tcPr>
          <w:p>
            <w:pPr>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0</w:t>
            </w:r>
          </w:p>
        </w:tc>
        <w:tc>
          <w:tcPr>
            <w:tcW w:w="489" w:type="pct"/>
            <w:shd w:val="clear" w:color="auto" w:fill="auto"/>
            <w:noWrap/>
            <w:vAlign w:val="center"/>
          </w:tcPr>
          <w:p>
            <w:pPr>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gridAfter w:val="1"/>
          <w:wAfter w:w="5" w:type="pct"/>
          <w:cantSplit/>
          <w:jc w:val="center"/>
        </w:trPr>
        <w:tc>
          <w:tcPr>
            <w:tcW w:w="266" w:type="pct"/>
            <w:shd w:val="clear" w:color="auto" w:fill="auto"/>
            <w:noWrap/>
            <w:vAlign w:val="center"/>
          </w:tcPr>
          <w:p>
            <w:pPr>
              <w:spacing w:line="240" w:lineRule="auto"/>
              <w:jc w:val="center"/>
              <w:rPr>
                <w:rFonts w:hint="eastAsia"/>
                <w:sz w:val="19"/>
              </w:rPr>
            </w:pPr>
            <w:r>
              <w:rPr>
                <w:rFonts w:ascii="Times New Roman" w:hAnsi="Times New Roman" w:eastAsia="等线"/>
                <w:color w:val="000000"/>
                <w:kern w:val="0"/>
                <w:sz w:val="19"/>
                <w:szCs w:val="19"/>
              </w:rPr>
              <w:t>2</w:t>
            </w:r>
          </w:p>
        </w:tc>
        <w:tc>
          <w:tcPr>
            <w:tcW w:w="1314" w:type="pct"/>
            <w:shd w:val="clear" w:color="auto" w:fill="auto"/>
            <w:noWrap/>
            <w:vAlign w:val="center"/>
          </w:tcPr>
          <w:p>
            <w:pPr>
              <w:spacing w:line="240" w:lineRule="auto"/>
              <w:jc w:val="center"/>
              <w:rPr>
                <w:rFonts w:ascii="Times New Roman" w:hAnsi="Times New Roman" w:eastAsia="等线"/>
                <w:color w:val="000000"/>
                <w:kern w:val="0"/>
                <w:sz w:val="19"/>
                <w:szCs w:val="19"/>
              </w:rPr>
            </w:pPr>
            <w:r>
              <w:rPr>
                <w:rFonts w:hint="eastAsia" w:ascii="Times New Roman" w:hAnsi="Times New Roman" w:eastAsia="等线"/>
                <w:color w:val="000000"/>
                <w:kern w:val="0"/>
                <w:sz w:val="19"/>
                <w:szCs w:val="19"/>
              </w:rPr>
              <w:t>大雅河漂流景区</w:t>
            </w:r>
          </w:p>
        </w:tc>
        <w:tc>
          <w:tcPr>
            <w:tcW w:w="2098" w:type="pct"/>
            <w:shd w:val="clear" w:color="auto" w:fill="auto"/>
            <w:noWrap/>
            <w:vAlign w:val="center"/>
          </w:tcPr>
          <w:p>
            <w:pPr>
              <w:spacing w:line="240" w:lineRule="auto"/>
              <w:jc w:val="center"/>
              <w:rPr>
                <w:rFonts w:ascii="Times New Roman" w:hAnsi="Times New Roman" w:eastAsia="等线"/>
                <w:color w:val="000000"/>
                <w:kern w:val="0"/>
                <w:sz w:val="19"/>
                <w:szCs w:val="19"/>
              </w:rPr>
            </w:pPr>
            <w:r>
              <w:rPr>
                <w:rFonts w:hint="eastAsia" w:ascii="Times New Roman" w:hAnsi="Times New Roman" w:eastAsia="等线"/>
                <w:color w:val="000000"/>
                <w:kern w:val="0"/>
                <w:sz w:val="19"/>
                <w:szCs w:val="19"/>
              </w:rPr>
              <w:t>桓仁满族自治县普乐堡镇老漫子乡</w:t>
            </w:r>
          </w:p>
        </w:tc>
        <w:tc>
          <w:tcPr>
            <w:tcW w:w="423" w:type="pct"/>
            <w:shd w:val="clear" w:color="auto" w:fill="auto"/>
            <w:noWrap/>
            <w:vAlign w:val="center"/>
          </w:tcPr>
          <w:p>
            <w:pPr>
              <w:spacing w:line="240" w:lineRule="auto"/>
              <w:jc w:val="center"/>
              <w:rPr>
                <w:rFonts w:ascii="Times New Roman" w:hAnsi="Times New Roman" w:eastAsia="等线"/>
                <w:color w:val="000000"/>
                <w:kern w:val="0"/>
                <w:sz w:val="19"/>
                <w:szCs w:val="19"/>
              </w:rPr>
            </w:pPr>
            <w:r>
              <w:rPr>
                <w:rFonts w:hint="eastAsia" w:ascii="Times New Roman" w:hAnsi="Times New Roman" w:eastAsia="等线"/>
                <w:color w:val="000000"/>
                <w:kern w:val="0"/>
                <w:sz w:val="19"/>
                <w:szCs w:val="19"/>
              </w:rPr>
              <w:t>15</w:t>
            </w:r>
          </w:p>
        </w:tc>
        <w:tc>
          <w:tcPr>
            <w:tcW w:w="406" w:type="pct"/>
            <w:shd w:val="clear" w:color="auto" w:fill="auto"/>
            <w:noWrap/>
            <w:vAlign w:val="center"/>
          </w:tcPr>
          <w:p>
            <w:pPr>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0</w:t>
            </w:r>
          </w:p>
        </w:tc>
        <w:tc>
          <w:tcPr>
            <w:tcW w:w="489" w:type="pct"/>
            <w:shd w:val="clear" w:color="auto" w:fill="auto"/>
            <w:noWrap/>
            <w:vAlign w:val="center"/>
          </w:tcPr>
          <w:p>
            <w:pPr>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2024</w:t>
            </w:r>
          </w:p>
        </w:tc>
      </w:tr>
    </w:tbl>
    <w:p>
      <w:pPr>
        <w:pStyle w:val="6"/>
        <w:numPr>
          <w:ilvl w:val="4"/>
          <w:numId w:val="12"/>
        </w:numPr>
        <w:ind w:firstLine="560" w:firstLineChars="200"/>
        <w:rPr>
          <w:rFonts w:hint="eastAsia"/>
        </w:rPr>
      </w:pPr>
      <w:r>
        <w:rPr>
          <w:rFonts w:hint="eastAsia" w:cs="仿宋_GB2312"/>
          <w:szCs w:val="28"/>
        </w:rPr>
        <w:t>桓仁满族自治县桓仁镇五女山山城停车场充电设施规划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4</w:t>
      </w:r>
      <w:r>
        <w:rPr>
          <w:rFonts w:hint="eastAsia" w:cs="仿宋_GB2312"/>
          <w:szCs w:val="28"/>
        </w:rPr>
        <w:t>年</w:t>
      </w:r>
    </w:p>
    <w:p>
      <w:pPr>
        <w:spacing w:line="360" w:lineRule="auto"/>
        <w:ind w:firstLine="560" w:firstLineChars="200"/>
        <w:rPr>
          <w:rFonts w:hint="eastAsia" w:cs="仿宋_GB2312"/>
          <w:color w:val="FF0000"/>
          <w:szCs w:val="28"/>
        </w:rPr>
      </w:pPr>
      <w:r>
        <w:rPr>
          <w:rFonts w:hint="eastAsia" w:cs="仿宋_GB2312"/>
          <w:szCs w:val="28"/>
        </w:rPr>
        <w:t>建设必要性：为了满足五女山景区的电动汽车充电需求。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18</w:t>
      </w:r>
      <w:r>
        <w:rPr>
          <w:rFonts w:hint="eastAsia" w:cs="仿宋_GB2312"/>
          <w:szCs w:val="28"/>
        </w:rPr>
        <w:t>台快充</w:t>
      </w:r>
      <w:r>
        <w:rPr>
          <w:rFonts w:cs="仿宋_GB2312"/>
          <w:szCs w:val="28"/>
        </w:rPr>
        <w:t>60</w:t>
      </w:r>
      <w:r>
        <w:rPr>
          <w:rFonts w:hint="eastAsia" w:cs="仿宋_GB2312"/>
          <w:szCs w:val="28"/>
        </w:rPr>
        <w:t>kW充电桩。</w:t>
      </w:r>
    </w:p>
    <w:p>
      <w:pPr>
        <w:spacing w:line="240" w:lineRule="auto"/>
        <w:jc w:val="center"/>
        <w:rPr>
          <w:rFonts w:ascii="黑体" w:hAnsi="黑体" w:eastAsia="黑体"/>
          <w:b/>
          <w:sz w:val="20"/>
        </w:rPr>
      </w:pPr>
      <w:r>
        <w:rPr>
          <w:rFonts w:ascii="黑体" w:hAnsi="黑体" w:eastAsia="黑体"/>
          <w:b/>
          <w:sz w:val="20"/>
        </w:rPr>
        <w:drawing>
          <wp:inline distT="0" distB="0" distL="0" distR="0">
            <wp:extent cx="3444240" cy="2301240"/>
            <wp:effectExtent l="0" t="0" r="3810" b="3810"/>
            <wp:docPr id="3814794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479422" name="图片 1"/>
                    <pic:cNvPicPr>
                      <a:picLocks noChangeAspect="1"/>
                    </pic:cNvPicPr>
                  </pic:nvPicPr>
                  <pic:blipFill>
                    <a:blip r:embed="rId23"/>
                    <a:stretch>
                      <a:fillRect/>
                    </a:stretch>
                  </pic:blipFill>
                  <pic:spPr>
                    <a:xfrm>
                      <a:off x="0" y="0"/>
                      <a:ext cx="3444538" cy="2301439"/>
                    </a:xfrm>
                    <a:prstGeom prst="rect">
                      <a:avLst/>
                    </a:prstGeom>
                  </pic:spPr>
                </pic:pic>
              </a:graphicData>
            </a:graphic>
          </wp:inline>
        </w:drawing>
      </w:r>
    </w:p>
    <w:p>
      <w:pPr>
        <w:pStyle w:val="8"/>
      </w:pPr>
      <w:r>
        <w:rPr>
          <w:rFonts w:hint="eastAsia"/>
        </w:rPr>
        <w:t>桓仁满族自治县桓仁镇五女山山城停车场卫星地理图</w:t>
      </w:r>
    </w:p>
    <w:p>
      <w:pPr>
        <w:pStyle w:val="6"/>
        <w:ind w:firstLine="560"/>
        <w:rPr>
          <w:rFonts w:hint="eastAsia"/>
        </w:rPr>
      </w:pPr>
      <w:r>
        <w:rPr>
          <w:rFonts w:hint="eastAsia" w:cs="仿宋_GB2312"/>
          <w:szCs w:val="28"/>
        </w:rPr>
        <w:t>桓仁满族自治县普乐堡镇大雅河漂流景区停车场充电设施规划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4</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建设必要性：为了满足普乐堡镇大雅河漂流景区的电动汽车充电需求。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15</w:t>
      </w:r>
      <w:r>
        <w:rPr>
          <w:rFonts w:hint="eastAsia" w:cs="仿宋_GB2312"/>
          <w:szCs w:val="28"/>
        </w:rPr>
        <w:t>台快充</w:t>
      </w:r>
      <w:r>
        <w:rPr>
          <w:rFonts w:cs="仿宋_GB2312"/>
          <w:szCs w:val="28"/>
        </w:rPr>
        <w:t>60</w:t>
      </w:r>
      <w:r>
        <w:rPr>
          <w:rFonts w:hint="eastAsia" w:cs="仿宋_GB2312"/>
          <w:szCs w:val="28"/>
        </w:rPr>
        <w:t>kW充电桩。</w:t>
      </w:r>
    </w:p>
    <w:p>
      <w:pPr>
        <w:spacing w:line="240" w:lineRule="auto"/>
        <w:jc w:val="center"/>
        <w:rPr>
          <w:rFonts w:ascii="黑体" w:hAnsi="黑体" w:eastAsia="黑体"/>
          <w:b/>
          <w:sz w:val="20"/>
        </w:rPr>
      </w:pPr>
      <w:r>
        <w:rPr>
          <w:rFonts w:ascii="黑体" w:hAnsi="黑体" w:eastAsia="黑体"/>
          <w:b/>
          <w:sz w:val="20"/>
        </w:rPr>
        <w:drawing>
          <wp:inline distT="0" distB="0" distL="0" distR="0">
            <wp:extent cx="3444240" cy="2308860"/>
            <wp:effectExtent l="0" t="0" r="3810" b="0"/>
            <wp:docPr id="1206924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92454" name="图片 1"/>
                    <pic:cNvPicPr>
                      <a:picLocks noChangeAspect="1"/>
                    </pic:cNvPicPr>
                  </pic:nvPicPr>
                  <pic:blipFill>
                    <a:blip r:embed="rId24"/>
                    <a:stretch>
                      <a:fillRect/>
                    </a:stretch>
                  </pic:blipFill>
                  <pic:spPr>
                    <a:xfrm>
                      <a:off x="0" y="0"/>
                      <a:ext cx="3444538" cy="2309060"/>
                    </a:xfrm>
                    <a:prstGeom prst="rect">
                      <a:avLst/>
                    </a:prstGeom>
                  </pic:spPr>
                </pic:pic>
              </a:graphicData>
            </a:graphic>
          </wp:inline>
        </w:drawing>
      </w:r>
      <w:r>
        <w:rPr>
          <w:rFonts w:ascii="黑体" w:hAnsi="黑体" w:eastAsia="黑体"/>
          <w:b/>
          <w:sz w:val="20"/>
        </w:rPr>
        <w:t xml:space="preserve"> </w:t>
      </w:r>
    </w:p>
    <w:p>
      <w:pPr>
        <w:pStyle w:val="8"/>
      </w:pPr>
      <w:r>
        <w:rPr>
          <w:rFonts w:hint="eastAsia"/>
        </w:rPr>
        <w:t>桓仁满族自治县普乐堡镇大雅河漂流景区停车场卫星地理图</w:t>
      </w:r>
    </w:p>
    <w:p>
      <w:pPr>
        <w:pStyle w:val="5"/>
      </w:pPr>
      <w:r>
        <w:rPr>
          <w:bCs/>
          <w:sz w:val="32"/>
          <w:szCs w:val="32"/>
        </w:rPr>
        <w:t>2025</w:t>
      </w:r>
      <w:r>
        <w:rPr>
          <w:rFonts w:hint="eastAsia"/>
          <w:bCs/>
          <w:sz w:val="32"/>
          <w:szCs w:val="32"/>
        </w:rPr>
        <w:t>年公共充电设施规划</w:t>
      </w:r>
    </w:p>
    <w:p>
      <w:pPr>
        <w:spacing w:line="360" w:lineRule="auto"/>
        <w:ind w:firstLine="560" w:firstLineChars="200"/>
        <w:jc w:val="left"/>
        <w:rPr>
          <w:rFonts w:hint="eastAsia"/>
        </w:rPr>
      </w:pPr>
      <w:r>
        <w:rPr>
          <w:rFonts w:hint="eastAsia" w:cs="仿宋_GB2312"/>
          <w:szCs w:val="22"/>
        </w:rPr>
        <w:t>2</w:t>
      </w:r>
      <w:r>
        <w:rPr>
          <w:rFonts w:cs="仿宋_GB2312"/>
          <w:szCs w:val="22"/>
        </w:rPr>
        <w:t>025</w:t>
      </w:r>
      <w:r>
        <w:rPr>
          <w:rFonts w:hint="eastAsia" w:cs="仿宋_GB2312"/>
          <w:szCs w:val="22"/>
        </w:rPr>
        <w:t>年桓仁满族自治县</w:t>
      </w:r>
      <w:r>
        <w:rPr>
          <w:rFonts w:cs="仿宋_GB2312"/>
          <w:szCs w:val="22"/>
        </w:rPr>
        <w:t>规划新建公共充电站7座，新增公共充电桩33个</w:t>
      </w:r>
      <w:r>
        <w:rPr>
          <w:rFonts w:hint="eastAsia"/>
        </w:rPr>
        <w:t>（充电枪33个）</w:t>
      </w:r>
      <w:r>
        <w:rPr>
          <w:rFonts w:cs="仿宋_GB2312"/>
          <w:szCs w:val="22"/>
        </w:rPr>
        <w:t>，</w:t>
      </w:r>
      <w:r>
        <w:rPr>
          <w:rFonts w:hint="eastAsia" w:cs="仿宋_GB2312"/>
          <w:szCs w:val="22"/>
        </w:rPr>
        <w:t>全部为</w:t>
      </w:r>
      <w:r>
        <w:rPr>
          <w:rFonts w:cs="仿宋_GB2312"/>
          <w:szCs w:val="22"/>
        </w:rPr>
        <w:t>快充充电桩。</w:t>
      </w:r>
      <w:r>
        <w:rPr>
          <w:rFonts w:hint="eastAsia" w:cs="仿宋_GB2312"/>
          <w:szCs w:val="22"/>
        </w:rPr>
        <w:t>桓仁满族自治县2</w:t>
      </w:r>
      <w:r>
        <w:rPr>
          <w:rFonts w:cs="仿宋_GB2312"/>
          <w:szCs w:val="22"/>
        </w:rPr>
        <w:t>025</w:t>
      </w:r>
      <w:r>
        <w:rPr>
          <w:rFonts w:hint="eastAsia" w:cs="仿宋_GB2312"/>
          <w:szCs w:val="22"/>
        </w:rPr>
        <w:t>年</w:t>
      </w:r>
      <w:r>
        <w:rPr>
          <w:rFonts w:cs="仿宋_GB2312"/>
          <w:szCs w:val="22"/>
        </w:rPr>
        <w:t>规划公共充电设施站点如下所示。</w:t>
      </w:r>
      <w:r>
        <w:drawing>
          <wp:inline distT="0" distB="0" distL="0" distR="0">
            <wp:extent cx="5274310" cy="3729355"/>
            <wp:effectExtent l="0" t="0" r="2540" b="4445"/>
            <wp:docPr id="9666293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629319" name="图片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5274310" cy="3729355"/>
                    </a:xfrm>
                    <a:prstGeom prst="rect">
                      <a:avLst/>
                    </a:prstGeom>
                    <a:noFill/>
                    <a:ln>
                      <a:noFill/>
                    </a:ln>
                  </pic:spPr>
                </pic:pic>
              </a:graphicData>
            </a:graphic>
          </wp:inline>
        </w:drawing>
      </w:r>
      <w:r>
        <w:t xml:space="preserve"> </w:t>
      </w:r>
    </w:p>
    <w:p>
      <w:pPr>
        <w:pStyle w:val="8"/>
      </w:pPr>
      <w:r>
        <w:rPr>
          <w:rFonts w:hint="eastAsia"/>
        </w:rPr>
        <w:t>桓仁满族自治县2</w:t>
      </w:r>
      <w:r>
        <w:t>025</w:t>
      </w:r>
      <w:r>
        <w:rPr>
          <w:rFonts w:hint="eastAsia"/>
        </w:rPr>
        <w:t>年</w:t>
      </w:r>
      <w:r>
        <w:t>公共充电设施</w:t>
      </w:r>
      <w:r>
        <w:rPr>
          <w:rFonts w:hint="eastAsia"/>
        </w:rPr>
        <w:t>点位</w:t>
      </w:r>
      <w:r>
        <w:t>布局</w:t>
      </w:r>
    </w:p>
    <w:p>
      <w:pPr>
        <w:pStyle w:val="7"/>
      </w:pPr>
      <w:r>
        <w:rPr>
          <w:rFonts w:hint="eastAsia"/>
        </w:rPr>
        <w:t>桓仁满族自治县2</w:t>
      </w:r>
      <w:r>
        <w:t>025</w:t>
      </w:r>
      <w:r>
        <w:rPr>
          <w:rFonts w:hint="eastAsia"/>
        </w:rPr>
        <w:t>年</w:t>
      </w:r>
      <w:r>
        <w:t>公共充电设施规划项目表</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28" w:type="dxa"/>
          <w:left w:w="28" w:type="dxa"/>
          <w:bottom w:w="28" w:type="dxa"/>
          <w:right w:w="28" w:type="dxa"/>
        </w:tblCellMar>
      </w:tblPr>
      <w:tblGrid>
        <w:gridCol w:w="398"/>
        <w:gridCol w:w="2104"/>
        <w:gridCol w:w="3783"/>
        <w:gridCol w:w="572"/>
        <w:gridCol w:w="764"/>
        <w:gridCol w:w="74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238" w:type="pct"/>
            <w:vMerge w:val="restart"/>
            <w:shd w:val="clear" w:color="auto" w:fill="D9D9D9"/>
            <w:noWrap/>
            <w:vAlign w:val="center"/>
          </w:tcPr>
          <w:p>
            <w:pPr>
              <w:spacing w:line="240" w:lineRule="auto"/>
              <w:jc w:val="center"/>
              <w:rPr>
                <w:rFonts w:hint="eastAsia"/>
                <w:b/>
                <w:sz w:val="19"/>
              </w:rPr>
            </w:pPr>
            <w:r>
              <w:rPr>
                <w:rFonts w:hint="eastAsia"/>
                <w:b/>
                <w:sz w:val="19"/>
              </w:rPr>
              <w:t>序号</w:t>
            </w:r>
          </w:p>
        </w:tc>
        <w:tc>
          <w:tcPr>
            <w:tcW w:w="1258" w:type="pct"/>
            <w:vMerge w:val="restart"/>
            <w:shd w:val="clear" w:color="auto" w:fill="D9D9D9"/>
            <w:noWrap/>
            <w:vAlign w:val="center"/>
          </w:tcPr>
          <w:p>
            <w:pPr>
              <w:spacing w:line="240" w:lineRule="auto"/>
              <w:jc w:val="center"/>
              <w:rPr>
                <w:rFonts w:hint="eastAsia"/>
                <w:b/>
                <w:sz w:val="19"/>
              </w:rPr>
            </w:pPr>
            <w:r>
              <w:rPr>
                <w:rFonts w:hint="eastAsia"/>
                <w:b/>
                <w:sz w:val="19"/>
              </w:rPr>
              <w:t>停车场名称</w:t>
            </w:r>
          </w:p>
        </w:tc>
        <w:tc>
          <w:tcPr>
            <w:tcW w:w="2262" w:type="pct"/>
            <w:vMerge w:val="restart"/>
            <w:shd w:val="clear" w:color="auto" w:fill="D9D9D9"/>
            <w:noWrap/>
            <w:vAlign w:val="center"/>
          </w:tcPr>
          <w:p>
            <w:pPr>
              <w:spacing w:line="240" w:lineRule="auto"/>
              <w:jc w:val="center"/>
              <w:rPr>
                <w:rFonts w:hint="eastAsia"/>
                <w:b/>
                <w:sz w:val="19"/>
              </w:rPr>
            </w:pPr>
            <w:r>
              <w:rPr>
                <w:rFonts w:hint="eastAsia"/>
                <w:b/>
                <w:sz w:val="19"/>
              </w:rPr>
              <w:t>具体位置</w:t>
            </w:r>
          </w:p>
        </w:tc>
        <w:tc>
          <w:tcPr>
            <w:tcW w:w="799" w:type="pct"/>
            <w:gridSpan w:val="2"/>
            <w:shd w:val="clear" w:color="auto" w:fill="D9D9D9"/>
            <w:vAlign w:val="center"/>
          </w:tcPr>
          <w:p>
            <w:pPr>
              <w:spacing w:line="240" w:lineRule="auto"/>
              <w:jc w:val="center"/>
              <w:rPr>
                <w:rFonts w:hint="eastAsia"/>
                <w:b/>
                <w:sz w:val="19"/>
              </w:rPr>
            </w:pPr>
            <w:r>
              <w:rPr>
                <w:rFonts w:hint="eastAsia"/>
                <w:b/>
                <w:sz w:val="19"/>
              </w:rPr>
              <w:t>设置充电桩设施数量（台）</w:t>
            </w:r>
          </w:p>
        </w:tc>
        <w:tc>
          <w:tcPr>
            <w:tcW w:w="443" w:type="pct"/>
            <w:vMerge w:val="restart"/>
            <w:shd w:val="clear" w:color="auto" w:fill="D9D9D9"/>
            <w:noWrap/>
            <w:vAlign w:val="center"/>
          </w:tcPr>
          <w:p>
            <w:pPr>
              <w:spacing w:line="240" w:lineRule="auto"/>
              <w:jc w:val="center"/>
              <w:rPr>
                <w:rFonts w:hint="eastAsia"/>
                <w:b/>
                <w:sz w:val="19"/>
              </w:rPr>
            </w:pPr>
            <w:r>
              <w:rPr>
                <w:rFonts w:hint="eastAsia"/>
                <w:b/>
                <w:sz w:val="19"/>
              </w:rPr>
              <w:t>建设</w:t>
            </w:r>
          </w:p>
          <w:p>
            <w:pPr>
              <w:spacing w:line="240" w:lineRule="auto"/>
              <w:jc w:val="center"/>
              <w:rPr>
                <w:rFonts w:hint="eastAsia"/>
                <w:b/>
                <w:sz w:val="19"/>
              </w:rPr>
            </w:pPr>
            <w:r>
              <w:rPr>
                <w:rFonts w:hint="eastAsia"/>
                <w:b/>
                <w:sz w:val="19"/>
              </w:rPr>
              <w:t>年份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238" w:type="pct"/>
            <w:vMerge w:val="continue"/>
            <w:shd w:val="clear" w:color="auto" w:fill="D9D9D9"/>
            <w:vAlign w:val="center"/>
          </w:tcPr>
          <w:p>
            <w:pPr>
              <w:spacing w:line="240" w:lineRule="auto"/>
              <w:jc w:val="center"/>
              <w:rPr>
                <w:rFonts w:hint="eastAsia"/>
                <w:b/>
                <w:sz w:val="19"/>
              </w:rPr>
            </w:pPr>
          </w:p>
        </w:tc>
        <w:tc>
          <w:tcPr>
            <w:tcW w:w="1258" w:type="pct"/>
            <w:vMerge w:val="continue"/>
            <w:shd w:val="clear" w:color="auto" w:fill="D9D9D9"/>
            <w:vAlign w:val="center"/>
          </w:tcPr>
          <w:p>
            <w:pPr>
              <w:spacing w:line="240" w:lineRule="auto"/>
              <w:jc w:val="center"/>
              <w:rPr>
                <w:rFonts w:hint="eastAsia"/>
                <w:b/>
                <w:sz w:val="19"/>
              </w:rPr>
            </w:pPr>
          </w:p>
        </w:tc>
        <w:tc>
          <w:tcPr>
            <w:tcW w:w="2262" w:type="pct"/>
            <w:vMerge w:val="continue"/>
            <w:shd w:val="clear" w:color="auto" w:fill="D9D9D9"/>
            <w:vAlign w:val="center"/>
          </w:tcPr>
          <w:p>
            <w:pPr>
              <w:spacing w:line="240" w:lineRule="auto"/>
              <w:jc w:val="center"/>
              <w:rPr>
                <w:rFonts w:hint="eastAsia"/>
                <w:b/>
                <w:sz w:val="19"/>
              </w:rPr>
            </w:pPr>
          </w:p>
        </w:tc>
        <w:tc>
          <w:tcPr>
            <w:tcW w:w="342" w:type="pct"/>
            <w:shd w:val="clear" w:color="auto" w:fill="D9D9D9"/>
            <w:noWrap/>
            <w:vAlign w:val="center"/>
          </w:tcPr>
          <w:p>
            <w:pPr>
              <w:spacing w:line="240" w:lineRule="auto"/>
              <w:jc w:val="center"/>
              <w:rPr>
                <w:rFonts w:hint="eastAsia"/>
                <w:b/>
                <w:sz w:val="19"/>
              </w:rPr>
            </w:pPr>
            <w:r>
              <w:rPr>
                <w:rFonts w:hint="eastAsia"/>
                <w:b/>
                <w:sz w:val="19"/>
              </w:rPr>
              <w:t>快充</w:t>
            </w:r>
          </w:p>
        </w:tc>
        <w:tc>
          <w:tcPr>
            <w:tcW w:w="457" w:type="pct"/>
            <w:shd w:val="clear" w:color="auto" w:fill="D9D9D9"/>
            <w:noWrap/>
            <w:vAlign w:val="center"/>
          </w:tcPr>
          <w:p>
            <w:pPr>
              <w:spacing w:line="240" w:lineRule="auto"/>
              <w:jc w:val="center"/>
              <w:rPr>
                <w:rFonts w:hint="eastAsia"/>
                <w:b/>
                <w:sz w:val="19"/>
              </w:rPr>
            </w:pPr>
            <w:r>
              <w:rPr>
                <w:rFonts w:hint="eastAsia"/>
                <w:b/>
                <w:sz w:val="19"/>
              </w:rPr>
              <w:t>慢充</w:t>
            </w:r>
          </w:p>
        </w:tc>
        <w:tc>
          <w:tcPr>
            <w:tcW w:w="443" w:type="pct"/>
            <w:vMerge w:val="continue"/>
            <w:shd w:val="clear" w:color="auto" w:fill="D9D9D9"/>
            <w:vAlign w:val="center"/>
          </w:tcPr>
          <w:p>
            <w:pPr>
              <w:spacing w:line="240" w:lineRule="auto"/>
              <w:jc w:val="center"/>
              <w:rPr>
                <w:rFonts w:hint="eastAsia"/>
                <w:b/>
                <w:sz w:val="19"/>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rFonts w:hint="eastAsia"/>
                <w:sz w:val="19"/>
              </w:rPr>
              <w:t>1</w:t>
            </w:r>
          </w:p>
        </w:tc>
        <w:tc>
          <w:tcPr>
            <w:tcW w:w="1258" w:type="pct"/>
            <w:shd w:val="clear" w:color="auto" w:fill="auto"/>
            <w:noWrap/>
            <w:vAlign w:val="center"/>
          </w:tcPr>
          <w:p>
            <w:pPr>
              <w:spacing w:line="240" w:lineRule="auto"/>
              <w:jc w:val="center"/>
              <w:rPr>
                <w:rFonts w:hint="eastAsia"/>
                <w:sz w:val="19"/>
              </w:rPr>
            </w:pPr>
            <w:r>
              <w:rPr>
                <w:rFonts w:hint="eastAsia"/>
                <w:sz w:val="19"/>
              </w:rPr>
              <w:t>虎谷峡景区</w:t>
            </w:r>
          </w:p>
        </w:tc>
        <w:tc>
          <w:tcPr>
            <w:tcW w:w="2262" w:type="pct"/>
            <w:shd w:val="clear" w:color="auto" w:fill="auto"/>
            <w:noWrap/>
            <w:vAlign w:val="center"/>
          </w:tcPr>
          <w:p>
            <w:pPr>
              <w:spacing w:line="240" w:lineRule="auto"/>
              <w:jc w:val="center"/>
              <w:rPr>
                <w:rFonts w:hint="eastAsia"/>
                <w:sz w:val="19"/>
              </w:rPr>
            </w:pPr>
            <w:r>
              <w:rPr>
                <w:rFonts w:hint="eastAsia"/>
                <w:sz w:val="19"/>
              </w:rPr>
              <w:t>桓仁满族自治县向阳乡和平村8号</w:t>
            </w:r>
          </w:p>
        </w:tc>
        <w:tc>
          <w:tcPr>
            <w:tcW w:w="342" w:type="pct"/>
            <w:shd w:val="clear" w:color="auto" w:fill="auto"/>
            <w:noWrap/>
            <w:vAlign w:val="center"/>
          </w:tcPr>
          <w:p>
            <w:pPr>
              <w:spacing w:line="240" w:lineRule="auto"/>
              <w:jc w:val="center"/>
              <w:rPr>
                <w:rFonts w:hint="eastAsia"/>
                <w:sz w:val="19"/>
              </w:rPr>
            </w:pPr>
            <w:r>
              <w:rPr>
                <w:rFonts w:hint="eastAsia"/>
                <w:sz w:val="19"/>
              </w:rPr>
              <w:t>15</w:t>
            </w:r>
          </w:p>
        </w:tc>
        <w:tc>
          <w:tcPr>
            <w:tcW w:w="457" w:type="pct"/>
            <w:shd w:val="clear" w:color="auto" w:fill="auto"/>
            <w:noWrap/>
            <w:vAlign w:val="center"/>
          </w:tcPr>
          <w:p>
            <w:pPr>
              <w:spacing w:line="240" w:lineRule="auto"/>
              <w:jc w:val="center"/>
              <w:rPr>
                <w:rFonts w:hint="eastAsia"/>
                <w:sz w:val="19"/>
              </w:rPr>
            </w:pPr>
            <w:r>
              <w:rPr>
                <w:rFonts w:hint="eastAsia"/>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rFonts w:hint="eastAsia"/>
                <w:sz w:val="19"/>
              </w:rPr>
              <w:t>2</w:t>
            </w:r>
          </w:p>
        </w:tc>
        <w:tc>
          <w:tcPr>
            <w:tcW w:w="1258" w:type="pct"/>
            <w:shd w:val="clear" w:color="auto" w:fill="auto"/>
            <w:noWrap/>
            <w:vAlign w:val="center"/>
          </w:tcPr>
          <w:p>
            <w:pPr>
              <w:spacing w:line="240" w:lineRule="auto"/>
              <w:jc w:val="center"/>
              <w:rPr>
                <w:rFonts w:hint="eastAsia"/>
                <w:sz w:val="19"/>
              </w:rPr>
            </w:pPr>
            <w:r>
              <w:rPr>
                <w:rFonts w:hint="eastAsia"/>
                <w:sz w:val="19"/>
              </w:rPr>
              <w:t>桓仁雅河油品有限公司</w:t>
            </w:r>
          </w:p>
        </w:tc>
        <w:tc>
          <w:tcPr>
            <w:tcW w:w="2262" w:type="pct"/>
            <w:shd w:val="clear" w:color="auto" w:fill="auto"/>
            <w:noWrap/>
            <w:vAlign w:val="center"/>
          </w:tcPr>
          <w:p>
            <w:pPr>
              <w:spacing w:line="240" w:lineRule="auto"/>
              <w:jc w:val="center"/>
              <w:rPr>
                <w:rFonts w:hint="eastAsia"/>
                <w:sz w:val="19"/>
              </w:rPr>
            </w:pPr>
            <w:r>
              <w:rPr>
                <w:rFonts w:hint="eastAsia"/>
                <w:sz w:val="19"/>
              </w:rPr>
              <w:t>桓仁满族自治县雅河乡镇董船营村街01组51幢单元1号</w:t>
            </w:r>
          </w:p>
        </w:tc>
        <w:tc>
          <w:tcPr>
            <w:tcW w:w="342" w:type="pct"/>
            <w:shd w:val="clear" w:color="auto" w:fill="auto"/>
            <w:noWrap/>
            <w:vAlign w:val="center"/>
          </w:tcPr>
          <w:p>
            <w:pPr>
              <w:spacing w:line="240" w:lineRule="auto"/>
              <w:jc w:val="center"/>
              <w:rPr>
                <w:rFonts w:hint="eastAsia"/>
                <w:sz w:val="19"/>
              </w:rPr>
            </w:pPr>
            <w:r>
              <w:rPr>
                <w:rFonts w:hint="eastAsia"/>
                <w:sz w:val="19"/>
              </w:rPr>
              <w:t>3</w:t>
            </w:r>
          </w:p>
        </w:tc>
        <w:tc>
          <w:tcPr>
            <w:tcW w:w="457" w:type="pct"/>
            <w:shd w:val="clear" w:color="auto" w:fill="auto"/>
            <w:noWrap/>
            <w:vAlign w:val="center"/>
          </w:tcPr>
          <w:p>
            <w:pPr>
              <w:spacing w:line="240" w:lineRule="auto"/>
              <w:jc w:val="center"/>
              <w:rPr>
                <w:rFonts w:hint="eastAsia"/>
                <w:sz w:val="19"/>
              </w:rPr>
            </w:pPr>
            <w:r>
              <w:rPr>
                <w:rFonts w:hint="eastAsia"/>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rFonts w:hint="eastAsia"/>
                <w:sz w:val="19"/>
              </w:rPr>
              <w:t>3</w:t>
            </w:r>
          </w:p>
        </w:tc>
        <w:tc>
          <w:tcPr>
            <w:tcW w:w="1258" w:type="pct"/>
            <w:shd w:val="clear" w:color="auto" w:fill="auto"/>
            <w:noWrap/>
            <w:vAlign w:val="center"/>
          </w:tcPr>
          <w:p>
            <w:pPr>
              <w:spacing w:line="240" w:lineRule="auto"/>
              <w:jc w:val="center"/>
              <w:rPr>
                <w:rFonts w:hint="eastAsia"/>
                <w:sz w:val="19"/>
              </w:rPr>
            </w:pPr>
            <w:r>
              <w:rPr>
                <w:rFonts w:hint="eastAsia"/>
                <w:sz w:val="19"/>
              </w:rPr>
              <w:t>桓仁满族自治县东升加油站</w:t>
            </w:r>
          </w:p>
        </w:tc>
        <w:tc>
          <w:tcPr>
            <w:tcW w:w="2262" w:type="pct"/>
            <w:shd w:val="clear" w:color="auto" w:fill="auto"/>
            <w:noWrap/>
            <w:vAlign w:val="center"/>
          </w:tcPr>
          <w:p>
            <w:pPr>
              <w:spacing w:line="240" w:lineRule="auto"/>
              <w:jc w:val="center"/>
              <w:rPr>
                <w:rFonts w:hint="eastAsia"/>
                <w:sz w:val="19"/>
              </w:rPr>
            </w:pPr>
            <w:r>
              <w:rPr>
                <w:rFonts w:hint="eastAsia"/>
                <w:sz w:val="19"/>
              </w:rPr>
              <w:t>本溪市桓仁满族自治县坑伙洛村S303</w:t>
            </w:r>
          </w:p>
        </w:tc>
        <w:tc>
          <w:tcPr>
            <w:tcW w:w="342" w:type="pct"/>
            <w:shd w:val="clear" w:color="auto" w:fill="auto"/>
            <w:noWrap/>
            <w:vAlign w:val="center"/>
          </w:tcPr>
          <w:p>
            <w:pPr>
              <w:spacing w:line="240" w:lineRule="auto"/>
              <w:jc w:val="center"/>
              <w:rPr>
                <w:rFonts w:hint="eastAsia"/>
                <w:sz w:val="19"/>
              </w:rPr>
            </w:pPr>
            <w:r>
              <w:rPr>
                <w:rFonts w:hint="eastAsia"/>
                <w:sz w:val="19"/>
              </w:rPr>
              <w:t>3</w:t>
            </w:r>
          </w:p>
        </w:tc>
        <w:tc>
          <w:tcPr>
            <w:tcW w:w="457" w:type="pct"/>
            <w:shd w:val="clear" w:color="auto" w:fill="auto"/>
            <w:noWrap/>
            <w:vAlign w:val="center"/>
          </w:tcPr>
          <w:p>
            <w:pPr>
              <w:spacing w:line="240" w:lineRule="auto"/>
              <w:jc w:val="center"/>
              <w:rPr>
                <w:rFonts w:hint="eastAsia"/>
                <w:sz w:val="19"/>
              </w:rPr>
            </w:pPr>
            <w:r>
              <w:rPr>
                <w:rFonts w:hint="eastAsia"/>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rFonts w:hint="eastAsia"/>
                <w:sz w:val="19"/>
              </w:rPr>
              <w:t>4</w:t>
            </w:r>
          </w:p>
        </w:tc>
        <w:tc>
          <w:tcPr>
            <w:tcW w:w="1258" w:type="pct"/>
            <w:shd w:val="clear" w:color="auto" w:fill="auto"/>
            <w:noWrap/>
            <w:vAlign w:val="center"/>
          </w:tcPr>
          <w:p>
            <w:pPr>
              <w:spacing w:line="240" w:lineRule="auto"/>
              <w:jc w:val="center"/>
              <w:rPr>
                <w:rFonts w:hint="eastAsia"/>
                <w:sz w:val="19"/>
              </w:rPr>
            </w:pPr>
            <w:r>
              <w:rPr>
                <w:rFonts w:hint="eastAsia"/>
                <w:sz w:val="19"/>
              </w:rPr>
              <w:t>二棚甸子客运站</w:t>
            </w:r>
          </w:p>
        </w:tc>
        <w:tc>
          <w:tcPr>
            <w:tcW w:w="2262" w:type="pct"/>
            <w:shd w:val="clear" w:color="auto" w:fill="auto"/>
            <w:noWrap/>
            <w:vAlign w:val="center"/>
          </w:tcPr>
          <w:p>
            <w:pPr>
              <w:spacing w:line="240" w:lineRule="auto"/>
              <w:jc w:val="center"/>
              <w:rPr>
                <w:rFonts w:hint="eastAsia"/>
                <w:sz w:val="19"/>
              </w:rPr>
            </w:pPr>
            <w:r>
              <w:rPr>
                <w:rFonts w:hint="eastAsia"/>
                <w:sz w:val="19"/>
              </w:rPr>
              <w:t>本溪市桓仁满族自治县木通线</w:t>
            </w:r>
          </w:p>
        </w:tc>
        <w:tc>
          <w:tcPr>
            <w:tcW w:w="342" w:type="pct"/>
            <w:shd w:val="clear" w:color="auto" w:fill="auto"/>
            <w:noWrap/>
            <w:vAlign w:val="center"/>
          </w:tcPr>
          <w:p>
            <w:pPr>
              <w:spacing w:line="240" w:lineRule="auto"/>
              <w:jc w:val="center"/>
              <w:rPr>
                <w:rFonts w:hint="eastAsia"/>
                <w:sz w:val="19"/>
              </w:rPr>
            </w:pPr>
            <w:r>
              <w:rPr>
                <w:rFonts w:hint="eastAsia"/>
                <w:sz w:val="19"/>
              </w:rPr>
              <w:t>3</w:t>
            </w:r>
          </w:p>
        </w:tc>
        <w:tc>
          <w:tcPr>
            <w:tcW w:w="457" w:type="pct"/>
            <w:shd w:val="clear" w:color="auto" w:fill="auto"/>
            <w:noWrap/>
            <w:vAlign w:val="center"/>
          </w:tcPr>
          <w:p>
            <w:pPr>
              <w:spacing w:line="240" w:lineRule="auto"/>
              <w:jc w:val="center"/>
              <w:rPr>
                <w:rFonts w:hint="eastAsia"/>
                <w:sz w:val="19"/>
              </w:rPr>
            </w:pPr>
            <w:r>
              <w:rPr>
                <w:rFonts w:hint="eastAsia"/>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sz w:val="19"/>
              </w:rPr>
            </w:pPr>
            <w:r>
              <w:rPr>
                <w:rFonts w:hint="eastAsia"/>
                <w:sz w:val="19"/>
              </w:rPr>
              <w:t>5</w:t>
            </w:r>
          </w:p>
        </w:tc>
        <w:tc>
          <w:tcPr>
            <w:tcW w:w="1258" w:type="pct"/>
            <w:shd w:val="clear" w:color="auto" w:fill="auto"/>
            <w:noWrap/>
            <w:vAlign w:val="center"/>
          </w:tcPr>
          <w:p>
            <w:pPr>
              <w:spacing w:line="240" w:lineRule="auto"/>
              <w:jc w:val="center"/>
              <w:rPr>
                <w:rFonts w:hint="eastAsia"/>
                <w:sz w:val="19"/>
              </w:rPr>
            </w:pPr>
            <w:r>
              <w:rPr>
                <w:rFonts w:hint="eastAsia"/>
                <w:sz w:val="19"/>
              </w:rPr>
              <w:t>晓阳村村部健身广场</w:t>
            </w:r>
          </w:p>
        </w:tc>
        <w:tc>
          <w:tcPr>
            <w:tcW w:w="2262" w:type="pct"/>
            <w:shd w:val="clear" w:color="auto" w:fill="auto"/>
            <w:noWrap/>
            <w:vAlign w:val="center"/>
          </w:tcPr>
          <w:p>
            <w:pPr>
              <w:spacing w:line="240" w:lineRule="auto"/>
              <w:jc w:val="center"/>
              <w:rPr>
                <w:rFonts w:hint="eastAsia"/>
                <w:sz w:val="19"/>
              </w:rPr>
            </w:pPr>
            <w:r>
              <w:rPr>
                <w:rFonts w:hint="eastAsia"/>
                <w:sz w:val="19"/>
              </w:rPr>
              <w:t>桓仁满族自治县二零一省道</w:t>
            </w:r>
          </w:p>
        </w:tc>
        <w:tc>
          <w:tcPr>
            <w:tcW w:w="342" w:type="pct"/>
            <w:shd w:val="clear" w:color="auto" w:fill="auto"/>
            <w:noWrap/>
            <w:vAlign w:val="center"/>
          </w:tcPr>
          <w:p>
            <w:pPr>
              <w:spacing w:line="240" w:lineRule="auto"/>
              <w:jc w:val="center"/>
              <w:rPr>
                <w:rFonts w:hint="eastAsia"/>
                <w:sz w:val="19"/>
              </w:rPr>
            </w:pPr>
            <w:r>
              <w:rPr>
                <w:rFonts w:hint="eastAsia"/>
                <w:sz w:val="19"/>
              </w:rPr>
              <w:t>3</w:t>
            </w:r>
          </w:p>
        </w:tc>
        <w:tc>
          <w:tcPr>
            <w:tcW w:w="457" w:type="pct"/>
            <w:shd w:val="clear" w:color="auto" w:fill="auto"/>
            <w:noWrap/>
            <w:vAlign w:val="center"/>
          </w:tcPr>
          <w:p>
            <w:pPr>
              <w:spacing w:line="240" w:lineRule="auto"/>
              <w:jc w:val="center"/>
              <w:rPr>
                <w:rFonts w:hint="eastAsia"/>
                <w:sz w:val="19"/>
              </w:rPr>
            </w:pPr>
            <w:r>
              <w:rPr>
                <w:rFonts w:hint="eastAsia"/>
                <w:sz w:val="19"/>
              </w:rPr>
              <w:t>0</w:t>
            </w:r>
          </w:p>
        </w:tc>
        <w:tc>
          <w:tcPr>
            <w:tcW w:w="443" w:type="pct"/>
            <w:shd w:val="clear" w:color="auto" w:fill="auto"/>
            <w:noWrap/>
            <w:vAlign w:val="center"/>
          </w:tcPr>
          <w:p>
            <w:pPr>
              <w:spacing w:line="240" w:lineRule="auto"/>
              <w:jc w:val="center"/>
              <w:rPr>
                <w:rFonts w:hint="eastAsia"/>
                <w:sz w:val="19"/>
              </w:rPr>
            </w:pPr>
            <w:r>
              <w:rPr>
                <w:rFonts w:hint="eastAsia"/>
                <w:sz w:val="19"/>
              </w:rPr>
              <w:t>2025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kern w:val="0"/>
                <w:sz w:val="19"/>
              </w:rPr>
            </w:pPr>
            <w:r>
              <w:rPr>
                <w:rFonts w:hint="eastAsia"/>
                <w:kern w:val="0"/>
                <w:sz w:val="19"/>
              </w:rPr>
              <w:t>6</w:t>
            </w:r>
          </w:p>
        </w:tc>
        <w:tc>
          <w:tcPr>
            <w:tcW w:w="1258" w:type="pct"/>
            <w:shd w:val="clear" w:color="auto" w:fill="auto"/>
            <w:noWrap/>
            <w:vAlign w:val="center"/>
          </w:tcPr>
          <w:p>
            <w:pPr>
              <w:spacing w:line="240" w:lineRule="auto"/>
              <w:jc w:val="center"/>
              <w:rPr>
                <w:rFonts w:hint="eastAsia"/>
                <w:sz w:val="19"/>
              </w:rPr>
            </w:pPr>
            <w:r>
              <w:rPr>
                <w:rFonts w:hint="eastAsia"/>
                <w:sz w:val="19"/>
              </w:rPr>
              <w:t>高台子村</w:t>
            </w:r>
          </w:p>
        </w:tc>
        <w:tc>
          <w:tcPr>
            <w:tcW w:w="2262" w:type="pct"/>
            <w:shd w:val="clear" w:color="auto" w:fill="auto"/>
            <w:noWrap/>
            <w:vAlign w:val="center"/>
          </w:tcPr>
          <w:p>
            <w:pPr>
              <w:spacing w:line="240" w:lineRule="auto"/>
              <w:jc w:val="center"/>
              <w:rPr>
                <w:rFonts w:hint="eastAsia"/>
                <w:sz w:val="19"/>
              </w:rPr>
            </w:pPr>
            <w:r>
              <w:rPr>
                <w:rFonts w:hint="eastAsia"/>
                <w:sz w:val="19"/>
              </w:rPr>
              <w:t>华来镇</w:t>
            </w:r>
          </w:p>
        </w:tc>
        <w:tc>
          <w:tcPr>
            <w:tcW w:w="342" w:type="pct"/>
            <w:shd w:val="clear" w:color="auto" w:fill="auto"/>
            <w:noWrap/>
            <w:vAlign w:val="center"/>
          </w:tcPr>
          <w:p>
            <w:pPr>
              <w:spacing w:line="240" w:lineRule="auto"/>
              <w:jc w:val="center"/>
              <w:rPr>
                <w:rFonts w:hint="eastAsia"/>
                <w:sz w:val="19"/>
              </w:rPr>
            </w:pPr>
            <w:r>
              <w:rPr>
                <w:rFonts w:hint="eastAsia"/>
                <w:sz w:val="19"/>
              </w:rPr>
              <w:t>3</w:t>
            </w:r>
          </w:p>
        </w:tc>
        <w:tc>
          <w:tcPr>
            <w:tcW w:w="457" w:type="pct"/>
            <w:shd w:val="clear" w:color="auto" w:fill="auto"/>
            <w:noWrap/>
            <w:vAlign w:val="center"/>
          </w:tcPr>
          <w:p>
            <w:pPr>
              <w:spacing w:line="240" w:lineRule="auto"/>
              <w:jc w:val="center"/>
              <w:rPr>
                <w:rFonts w:hint="eastAsia"/>
                <w:kern w:val="0"/>
                <w:sz w:val="19"/>
              </w:rPr>
            </w:pPr>
            <w:r>
              <w:rPr>
                <w:rFonts w:hint="eastAsia"/>
                <w:kern w:val="0"/>
                <w:sz w:val="19"/>
              </w:rPr>
              <w:t>0</w:t>
            </w:r>
          </w:p>
        </w:tc>
        <w:tc>
          <w:tcPr>
            <w:tcW w:w="443" w:type="pct"/>
            <w:shd w:val="clear" w:color="auto" w:fill="auto"/>
            <w:noWrap/>
            <w:vAlign w:val="center"/>
          </w:tcPr>
          <w:p>
            <w:pPr>
              <w:spacing w:line="240" w:lineRule="auto"/>
              <w:jc w:val="center"/>
              <w:rPr>
                <w:rFonts w:hint="eastAsia"/>
                <w:kern w:val="0"/>
                <w:sz w:val="19"/>
              </w:rPr>
            </w:pPr>
            <w:r>
              <w:rPr>
                <w:rFonts w:hint="eastAsia"/>
                <w:kern w:val="0"/>
                <w:sz w:val="19"/>
              </w:rPr>
              <w:t>2</w:t>
            </w:r>
            <w:r>
              <w:rPr>
                <w:kern w:val="0"/>
                <w:sz w:val="19"/>
              </w:rPr>
              <w:t>025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8" w:type="pct"/>
            <w:shd w:val="clear" w:color="auto" w:fill="auto"/>
            <w:noWrap/>
            <w:vAlign w:val="center"/>
          </w:tcPr>
          <w:p>
            <w:pPr>
              <w:spacing w:line="240" w:lineRule="auto"/>
              <w:jc w:val="center"/>
              <w:rPr>
                <w:rFonts w:hint="eastAsia"/>
                <w:kern w:val="0"/>
                <w:sz w:val="19"/>
              </w:rPr>
            </w:pPr>
            <w:r>
              <w:rPr>
                <w:rFonts w:hint="eastAsia"/>
                <w:kern w:val="0"/>
                <w:sz w:val="19"/>
              </w:rPr>
              <w:t>7</w:t>
            </w:r>
          </w:p>
        </w:tc>
        <w:tc>
          <w:tcPr>
            <w:tcW w:w="1258" w:type="pct"/>
            <w:shd w:val="clear" w:color="auto" w:fill="auto"/>
            <w:noWrap/>
            <w:vAlign w:val="center"/>
          </w:tcPr>
          <w:p>
            <w:pPr>
              <w:spacing w:line="240" w:lineRule="auto"/>
              <w:jc w:val="center"/>
              <w:rPr>
                <w:rFonts w:hint="eastAsia"/>
                <w:sz w:val="19"/>
              </w:rPr>
            </w:pPr>
            <w:r>
              <w:rPr>
                <w:rFonts w:hint="eastAsia"/>
                <w:sz w:val="19"/>
              </w:rPr>
              <w:t>朱家堡村</w:t>
            </w:r>
          </w:p>
        </w:tc>
        <w:tc>
          <w:tcPr>
            <w:tcW w:w="2262" w:type="pct"/>
            <w:shd w:val="clear" w:color="auto" w:fill="auto"/>
            <w:noWrap/>
            <w:vAlign w:val="center"/>
          </w:tcPr>
          <w:p>
            <w:pPr>
              <w:spacing w:line="240" w:lineRule="auto"/>
              <w:jc w:val="center"/>
              <w:rPr>
                <w:rFonts w:hint="eastAsia"/>
                <w:sz w:val="19"/>
              </w:rPr>
            </w:pPr>
            <w:r>
              <w:rPr>
                <w:rFonts w:hint="eastAsia"/>
                <w:sz w:val="19"/>
              </w:rPr>
              <w:t>本溪市桓仁满族自治县G506</w:t>
            </w:r>
          </w:p>
        </w:tc>
        <w:tc>
          <w:tcPr>
            <w:tcW w:w="342" w:type="pct"/>
            <w:shd w:val="clear" w:color="auto" w:fill="auto"/>
            <w:noWrap/>
            <w:vAlign w:val="center"/>
          </w:tcPr>
          <w:p>
            <w:pPr>
              <w:spacing w:line="240" w:lineRule="auto"/>
              <w:jc w:val="center"/>
              <w:rPr>
                <w:rFonts w:hint="eastAsia"/>
                <w:sz w:val="19"/>
              </w:rPr>
            </w:pPr>
            <w:r>
              <w:rPr>
                <w:rFonts w:hint="eastAsia"/>
                <w:sz w:val="19"/>
              </w:rPr>
              <w:t>3</w:t>
            </w:r>
          </w:p>
        </w:tc>
        <w:tc>
          <w:tcPr>
            <w:tcW w:w="457" w:type="pct"/>
            <w:shd w:val="clear" w:color="auto" w:fill="auto"/>
            <w:noWrap/>
            <w:vAlign w:val="center"/>
          </w:tcPr>
          <w:p>
            <w:pPr>
              <w:spacing w:line="240" w:lineRule="auto"/>
              <w:jc w:val="center"/>
              <w:rPr>
                <w:rFonts w:hint="eastAsia"/>
                <w:kern w:val="0"/>
                <w:sz w:val="19"/>
              </w:rPr>
            </w:pPr>
            <w:r>
              <w:rPr>
                <w:rFonts w:hint="eastAsia"/>
                <w:kern w:val="0"/>
                <w:sz w:val="19"/>
              </w:rPr>
              <w:t>0</w:t>
            </w:r>
          </w:p>
        </w:tc>
        <w:tc>
          <w:tcPr>
            <w:tcW w:w="443" w:type="pct"/>
            <w:shd w:val="clear" w:color="auto" w:fill="auto"/>
            <w:noWrap/>
            <w:vAlign w:val="center"/>
          </w:tcPr>
          <w:p>
            <w:pPr>
              <w:spacing w:line="240" w:lineRule="auto"/>
              <w:jc w:val="center"/>
              <w:rPr>
                <w:rFonts w:hint="eastAsia"/>
                <w:kern w:val="0"/>
                <w:sz w:val="19"/>
              </w:rPr>
            </w:pPr>
            <w:r>
              <w:rPr>
                <w:rFonts w:hint="eastAsia"/>
                <w:kern w:val="0"/>
                <w:sz w:val="19"/>
              </w:rPr>
              <w:t>2</w:t>
            </w:r>
            <w:r>
              <w:rPr>
                <w:kern w:val="0"/>
                <w:sz w:val="19"/>
              </w:rPr>
              <w:t>025</w:t>
            </w:r>
          </w:p>
        </w:tc>
      </w:tr>
    </w:tbl>
    <w:p>
      <w:pPr>
        <w:pStyle w:val="6"/>
        <w:numPr>
          <w:ilvl w:val="4"/>
          <w:numId w:val="13"/>
        </w:numPr>
        <w:ind w:firstLine="560" w:firstLineChars="200"/>
        <w:rPr>
          <w:rFonts w:hint="eastAsia"/>
        </w:rPr>
      </w:pPr>
      <w:r>
        <w:rPr>
          <w:rFonts w:hint="eastAsia" w:cs="仿宋_GB2312"/>
          <w:szCs w:val="28"/>
        </w:rPr>
        <w:t>桓仁满族自治县向阳乡虎谷峡景区停车场充电设施规划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5</w:t>
      </w:r>
      <w:r>
        <w:rPr>
          <w:rFonts w:hint="eastAsia" w:cs="仿宋_GB2312"/>
          <w:szCs w:val="28"/>
        </w:rPr>
        <w:t>年</w:t>
      </w:r>
    </w:p>
    <w:p>
      <w:pPr>
        <w:spacing w:line="360" w:lineRule="auto"/>
        <w:ind w:firstLine="560" w:firstLineChars="200"/>
        <w:rPr>
          <w:rFonts w:hint="eastAsia" w:cs="仿宋_GB2312"/>
          <w:color w:val="FF0000"/>
          <w:szCs w:val="28"/>
        </w:rPr>
      </w:pPr>
      <w:r>
        <w:rPr>
          <w:rFonts w:hint="eastAsia" w:cs="仿宋_GB2312"/>
          <w:szCs w:val="28"/>
        </w:rPr>
        <w:t>建设必要性：为了满足虎谷峡景区内以及回和线的电动汽车充电需求。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15</w:t>
      </w:r>
      <w:r>
        <w:rPr>
          <w:rFonts w:hint="eastAsia" w:cs="仿宋_GB2312"/>
          <w:szCs w:val="28"/>
        </w:rPr>
        <w:t>台快充</w:t>
      </w:r>
      <w:r>
        <w:rPr>
          <w:rFonts w:cs="仿宋_GB2312"/>
          <w:szCs w:val="28"/>
        </w:rPr>
        <w:t>60</w:t>
      </w:r>
      <w:r>
        <w:rPr>
          <w:rFonts w:hint="eastAsia" w:cs="仿宋_GB2312"/>
          <w:szCs w:val="28"/>
        </w:rPr>
        <w:t>kW充电桩。</w:t>
      </w:r>
    </w:p>
    <w:p>
      <w:pPr>
        <w:pStyle w:val="217"/>
        <w:spacing w:line="240" w:lineRule="auto"/>
        <w:rPr>
          <w:rFonts w:ascii="黑体" w:hAnsi="黑体" w:eastAsia="黑体"/>
          <w:b/>
          <w:sz w:val="20"/>
        </w:rPr>
      </w:pPr>
      <w:r>
        <w:rPr>
          <w:b/>
          <w:bCs/>
          <w:sz w:val="21"/>
          <w:szCs w:val="21"/>
        </w:rPr>
        <w:drawing>
          <wp:inline distT="0" distB="0" distL="0" distR="0">
            <wp:extent cx="5274310" cy="1765935"/>
            <wp:effectExtent l="0" t="0" r="2540" b="5715"/>
            <wp:docPr id="18390850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085039" name="图片 1"/>
                    <pic:cNvPicPr>
                      <a:picLocks noChangeAspect="1"/>
                    </pic:cNvPicPr>
                  </pic:nvPicPr>
                  <pic:blipFill>
                    <a:blip r:embed="rId26"/>
                    <a:stretch>
                      <a:fillRect/>
                    </a:stretch>
                  </pic:blipFill>
                  <pic:spPr>
                    <a:xfrm>
                      <a:off x="0" y="0"/>
                      <a:ext cx="5274310" cy="1765935"/>
                    </a:xfrm>
                    <a:prstGeom prst="rect">
                      <a:avLst/>
                    </a:prstGeom>
                  </pic:spPr>
                </pic:pic>
              </a:graphicData>
            </a:graphic>
          </wp:inline>
        </w:drawing>
      </w:r>
    </w:p>
    <w:p>
      <w:pPr>
        <w:pStyle w:val="8"/>
      </w:pPr>
      <w:r>
        <w:rPr>
          <w:rFonts w:hint="eastAsia"/>
        </w:rPr>
        <w:t>桓仁满族自治县向阳乡虎谷峡景区停车场卫星地理图及现场图</w:t>
      </w:r>
    </w:p>
    <w:p>
      <w:pPr>
        <w:pStyle w:val="6"/>
        <w:ind w:firstLine="560"/>
        <w:rPr>
          <w:rFonts w:hint="eastAsia"/>
        </w:rPr>
      </w:pPr>
      <w:r>
        <w:rPr>
          <w:rFonts w:hint="eastAsia" w:cs="仿宋_GB2312"/>
          <w:szCs w:val="28"/>
        </w:rPr>
        <w:t>桓仁满族自治县雅河朝鲜族乡桓仁雅河油品有限公司停车场充电设施规划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5</w:t>
      </w:r>
      <w:r>
        <w:rPr>
          <w:rFonts w:hint="eastAsia" w:cs="仿宋_GB2312"/>
          <w:szCs w:val="28"/>
        </w:rPr>
        <w:t>年</w:t>
      </w:r>
    </w:p>
    <w:p>
      <w:pPr>
        <w:spacing w:line="360" w:lineRule="auto"/>
        <w:ind w:firstLine="560" w:firstLineChars="200"/>
        <w:rPr>
          <w:rFonts w:hint="eastAsia" w:cs="仿宋_GB2312"/>
          <w:color w:val="FF0000"/>
          <w:szCs w:val="28"/>
        </w:rPr>
      </w:pPr>
      <w:r>
        <w:rPr>
          <w:rFonts w:hint="eastAsia" w:cs="仿宋_GB2312"/>
          <w:szCs w:val="28"/>
        </w:rPr>
        <w:t>建设必要性：为了满足桓仁满族自治县雅河朝鲜族乡集本线的电动汽车充电需求。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3</w:t>
      </w:r>
      <w:r>
        <w:rPr>
          <w:rFonts w:hint="eastAsia" w:cs="仿宋_GB2312"/>
          <w:szCs w:val="28"/>
        </w:rPr>
        <w:t>台快充</w:t>
      </w:r>
      <w:r>
        <w:rPr>
          <w:rFonts w:cs="仿宋_GB2312"/>
          <w:szCs w:val="28"/>
        </w:rPr>
        <w:t>60</w:t>
      </w:r>
      <w:r>
        <w:rPr>
          <w:rFonts w:hint="eastAsia" w:cs="仿宋_GB2312"/>
          <w:szCs w:val="28"/>
        </w:rPr>
        <w:t>kW充电桩。</w:t>
      </w:r>
    </w:p>
    <w:p>
      <w:pPr>
        <w:pStyle w:val="217"/>
        <w:spacing w:line="240" w:lineRule="auto"/>
        <w:ind w:firstLine="420"/>
        <w:rPr>
          <w:rFonts w:ascii="黑体" w:hAnsi="黑体" w:eastAsia="黑体"/>
          <w:b/>
          <w:sz w:val="20"/>
        </w:rPr>
      </w:pPr>
      <w:r>
        <w:rPr>
          <w:rFonts w:ascii="黑体" w:hAnsi="黑体" w:eastAsia="黑体"/>
          <w:b/>
          <w:sz w:val="20"/>
        </w:rPr>
        <w:drawing>
          <wp:inline distT="0" distB="0" distL="0" distR="0">
            <wp:extent cx="3444240" cy="2308860"/>
            <wp:effectExtent l="0" t="0" r="3810" b="0"/>
            <wp:docPr id="7518767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876756" name="图片 1"/>
                    <pic:cNvPicPr>
                      <a:picLocks noChangeAspect="1"/>
                    </pic:cNvPicPr>
                  </pic:nvPicPr>
                  <pic:blipFill>
                    <a:blip r:embed="rId27"/>
                    <a:stretch>
                      <a:fillRect/>
                    </a:stretch>
                  </pic:blipFill>
                  <pic:spPr>
                    <a:xfrm>
                      <a:off x="0" y="0"/>
                      <a:ext cx="3444538" cy="2309060"/>
                    </a:xfrm>
                    <a:prstGeom prst="rect">
                      <a:avLst/>
                    </a:prstGeom>
                  </pic:spPr>
                </pic:pic>
              </a:graphicData>
            </a:graphic>
          </wp:inline>
        </w:drawing>
      </w:r>
    </w:p>
    <w:p>
      <w:pPr>
        <w:pStyle w:val="8"/>
      </w:pPr>
      <w:r>
        <w:rPr>
          <w:rFonts w:hint="eastAsia" w:cs="仿宋_GB2312"/>
          <w:szCs w:val="28"/>
        </w:rPr>
        <w:t>桓仁满族自治县雅河朝鲜族乡桓仁雅河油品有限公司停车场</w:t>
      </w:r>
      <w:r>
        <w:rPr>
          <w:rFonts w:hint="eastAsia"/>
        </w:rPr>
        <w:t>卫星地理图</w:t>
      </w:r>
    </w:p>
    <w:p>
      <w:pPr>
        <w:pStyle w:val="6"/>
        <w:ind w:firstLine="560"/>
        <w:rPr>
          <w:rFonts w:hint="eastAsia"/>
        </w:rPr>
      </w:pPr>
      <w:r>
        <w:rPr>
          <w:rFonts w:hint="eastAsia" w:cs="仿宋_GB2312"/>
          <w:szCs w:val="28"/>
        </w:rPr>
        <w:t>桓仁满族自治县古城镇东升加油站停车场充电设施规划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5</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建设必要性：为了满足桓仁满族自治县平衡线的电动汽车充电需求。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3</w:t>
      </w:r>
      <w:r>
        <w:rPr>
          <w:rFonts w:hint="eastAsia" w:cs="仿宋_GB2312"/>
          <w:szCs w:val="28"/>
        </w:rPr>
        <w:t>台快充</w:t>
      </w:r>
      <w:r>
        <w:rPr>
          <w:rFonts w:cs="仿宋_GB2312"/>
          <w:szCs w:val="28"/>
        </w:rPr>
        <w:t>60</w:t>
      </w:r>
      <w:r>
        <w:rPr>
          <w:rFonts w:hint="eastAsia" w:cs="仿宋_GB2312"/>
          <w:szCs w:val="28"/>
        </w:rPr>
        <w:t>kW充电桩。</w:t>
      </w:r>
    </w:p>
    <w:p>
      <w:pPr>
        <w:pStyle w:val="217"/>
        <w:spacing w:line="240" w:lineRule="auto"/>
        <w:rPr>
          <w:rFonts w:ascii="黑体" w:hAnsi="黑体" w:eastAsia="黑体"/>
          <w:b/>
          <w:sz w:val="20"/>
        </w:rPr>
      </w:pPr>
      <w:r>
        <w:rPr>
          <w:rFonts w:ascii="黑体" w:hAnsi="黑体" w:eastAsia="黑体"/>
          <w:b/>
          <w:sz w:val="20"/>
        </w:rPr>
        <w:drawing>
          <wp:inline distT="0" distB="0" distL="0" distR="0">
            <wp:extent cx="5274310" cy="1738630"/>
            <wp:effectExtent l="0" t="0" r="2540" b="0"/>
            <wp:docPr id="13075094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509417" name="图片 1"/>
                    <pic:cNvPicPr>
                      <a:picLocks noChangeAspect="1"/>
                    </pic:cNvPicPr>
                  </pic:nvPicPr>
                  <pic:blipFill>
                    <a:blip r:embed="rId28"/>
                    <a:stretch>
                      <a:fillRect/>
                    </a:stretch>
                  </pic:blipFill>
                  <pic:spPr>
                    <a:xfrm>
                      <a:off x="0" y="0"/>
                      <a:ext cx="5274310" cy="1738630"/>
                    </a:xfrm>
                    <a:prstGeom prst="rect">
                      <a:avLst/>
                    </a:prstGeom>
                  </pic:spPr>
                </pic:pic>
              </a:graphicData>
            </a:graphic>
          </wp:inline>
        </w:drawing>
      </w:r>
    </w:p>
    <w:p>
      <w:pPr>
        <w:pStyle w:val="8"/>
      </w:pPr>
      <w:r>
        <w:rPr>
          <w:rFonts w:hint="eastAsia"/>
        </w:rPr>
        <w:t>桓仁满族自治县古城镇东升加油站停车场卫星地理图及现场图</w:t>
      </w:r>
    </w:p>
    <w:p>
      <w:pPr>
        <w:pStyle w:val="6"/>
        <w:ind w:firstLine="560"/>
        <w:rPr>
          <w:rFonts w:hint="eastAsia"/>
        </w:rPr>
      </w:pPr>
      <w:r>
        <w:rPr>
          <w:rFonts w:hint="eastAsia" w:cs="仿宋_GB2312"/>
          <w:szCs w:val="28"/>
        </w:rPr>
        <w:t>桓仁满族自治县二棚甸子镇客运站停车场充电设施规划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5</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建设必要性：为了满足桓仁满族自治县集本线、府康路的电动汽车充电需求。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15</w:t>
      </w:r>
      <w:r>
        <w:rPr>
          <w:rFonts w:hint="eastAsia" w:cs="仿宋_GB2312"/>
          <w:szCs w:val="28"/>
        </w:rPr>
        <w:t>台快充</w:t>
      </w:r>
      <w:r>
        <w:rPr>
          <w:rFonts w:cs="仿宋_GB2312"/>
          <w:szCs w:val="28"/>
        </w:rPr>
        <w:t>60</w:t>
      </w:r>
      <w:r>
        <w:rPr>
          <w:rFonts w:hint="eastAsia" w:cs="仿宋_GB2312"/>
          <w:szCs w:val="28"/>
        </w:rPr>
        <w:t>kW充电桩。</w:t>
      </w:r>
    </w:p>
    <w:p>
      <w:pPr>
        <w:pStyle w:val="217"/>
        <w:spacing w:line="240" w:lineRule="auto"/>
        <w:rPr>
          <w:rFonts w:ascii="黑体" w:hAnsi="黑体" w:eastAsia="黑体"/>
          <w:b/>
          <w:sz w:val="20"/>
        </w:rPr>
      </w:pPr>
      <w:r>
        <w:rPr>
          <w:rFonts w:ascii="黑体" w:hAnsi="黑体" w:eastAsia="黑体"/>
          <w:b/>
          <w:sz w:val="20"/>
        </w:rPr>
        <w:drawing>
          <wp:inline distT="0" distB="0" distL="0" distR="0">
            <wp:extent cx="5274310" cy="1746885"/>
            <wp:effectExtent l="0" t="0" r="2540" b="5715"/>
            <wp:docPr id="10577397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739786" name="图片 1"/>
                    <pic:cNvPicPr>
                      <a:picLocks noChangeAspect="1"/>
                    </pic:cNvPicPr>
                  </pic:nvPicPr>
                  <pic:blipFill>
                    <a:blip r:embed="rId29"/>
                    <a:stretch>
                      <a:fillRect/>
                    </a:stretch>
                  </pic:blipFill>
                  <pic:spPr>
                    <a:xfrm>
                      <a:off x="0" y="0"/>
                      <a:ext cx="5274310" cy="1746885"/>
                    </a:xfrm>
                    <a:prstGeom prst="rect">
                      <a:avLst/>
                    </a:prstGeom>
                  </pic:spPr>
                </pic:pic>
              </a:graphicData>
            </a:graphic>
          </wp:inline>
        </w:drawing>
      </w:r>
    </w:p>
    <w:p>
      <w:pPr>
        <w:pStyle w:val="8"/>
      </w:pPr>
      <w:r>
        <w:rPr>
          <w:rFonts w:hint="eastAsia"/>
        </w:rPr>
        <w:t>桓仁满族自治县二棚甸子镇客运站停车场卫星地理图及现场图</w:t>
      </w:r>
    </w:p>
    <w:p>
      <w:pPr>
        <w:pStyle w:val="6"/>
        <w:ind w:firstLine="560"/>
        <w:rPr>
          <w:rFonts w:hint="eastAsia"/>
        </w:rPr>
      </w:pPr>
      <w:r>
        <w:rPr>
          <w:rFonts w:hint="eastAsia" w:cs="仿宋_GB2312"/>
          <w:szCs w:val="28"/>
        </w:rPr>
        <w:t>桓仁满族自治县沙尖子镇晓阳村村部健身广场停车场充电设施规划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5</w:t>
      </w:r>
      <w:r>
        <w:rPr>
          <w:rFonts w:hint="eastAsia" w:cs="仿宋_GB2312"/>
          <w:szCs w:val="28"/>
        </w:rPr>
        <w:t>年</w:t>
      </w:r>
    </w:p>
    <w:p>
      <w:pPr>
        <w:spacing w:line="360" w:lineRule="auto"/>
        <w:ind w:firstLine="560" w:firstLineChars="200"/>
        <w:rPr>
          <w:rFonts w:hint="eastAsia" w:cs="仿宋_GB2312"/>
          <w:color w:val="FF0000"/>
          <w:szCs w:val="28"/>
        </w:rPr>
      </w:pPr>
      <w:r>
        <w:rPr>
          <w:rFonts w:hint="eastAsia" w:cs="仿宋_GB2312"/>
          <w:szCs w:val="28"/>
        </w:rPr>
        <w:t>建设必要性：为了满足晓阳村附近居民以及集本线的电动汽车充电需求。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3</w:t>
      </w:r>
      <w:r>
        <w:rPr>
          <w:rFonts w:hint="eastAsia" w:cs="仿宋_GB2312"/>
          <w:szCs w:val="28"/>
        </w:rPr>
        <w:t>台快充</w:t>
      </w:r>
      <w:r>
        <w:rPr>
          <w:rFonts w:cs="仿宋_GB2312"/>
          <w:szCs w:val="28"/>
        </w:rPr>
        <w:t>60</w:t>
      </w:r>
      <w:r>
        <w:rPr>
          <w:rFonts w:hint="eastAsia" w:cs="仿宋_GB2312"/>
          <w:szCs w:val="28"/>
        </w:rPr>
        <w:t>kW充电桩。</w:t>
      </w:r>
    </w:p>
    <w:p>
      <w:pPr>
        <w:pStyle w:val="217"/>
        <w:spacing w:line="240" w:lineRule="auto"/>
        <w:rPr>
          <w:rFonts w:ascii="黑体" w:hAnsi="黑体" w:eastAsia="黑体"/>
          <w:b/>
          <w:sz w:val="20"/>
        </w:rPr>
      </w:pPr>
      <w:r>
        <w:rPr>
          <w:rFonts w:ascii="黑体" w:hAnsi="黑体" w:eastAsia="黑体"/>
          <w:b/>
          <w:sz w:val="20"/>
        </w:rPr>
        <w:drawing>
          <wp:inline distT="0" distB="0" distL="0" distR="0">
            <wp:extent cx="5274310" cy="1752600"/>
            <wp:effectExtent l="0" t="0" r="2540" b="0"/>
            <wp:docPr id="16387025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702566" name="图片 1"/>
                    <pic:cNvPicPr>
                      <a:picLocks noChangeAspect="1"/>
                    </pic:cNvPicPr>
                  </pic:nvPicPr>
                  <pic:blipFill>
                    <a:blip r:embed="rId30"/>
                    <a:stretch>
                      <a:fillRect/>
                    </a:stretch>
                  </pic:blipFill>
                  <pic:spPr>
                    <a:xfrm>
                      <a:off x="0" y="0"/>
                      <a:ext cx="5274310" cy="1752600"/>
                    </a:xfrm>
                    <a:prstGeom prst="rect">
                      <a:avLst/>
                    </a:prstGeom>
                  </pic:spPr>
                </pic:pic>
              </a:graphicData>
            </a:graphic>
          </wp:inline>
        </w:drawing>
      </w:r>
    </w:p>
    <w:p>
      <w:pPr>
        <w:pStyle w:val="8"/>
      </w:pPr>
      <w:r>
        <w:rPr>
          <w:rFonts w:hint="eastAsia"/>
        </w:rPr>
        <w:t>桓仁满族自治县沙尖子镇晓阳村村部健身广场停车场卫星地理图及现场图</w:t>
      </w:r>
    </w:p>
    <w:p>
      <w:pPr>
        <w:pStyle w:val="6"/>
        <w:ind w:firstLine="560"/>
        <w:rPr>
          <w:rFonts w:hint="eastAsia"/>
        </w:rPr>
      </w:pPr>
      <w:r>
        <w:rPr>
          <w:rFonts w:hint="eastAsia" w:cs="仿宋_GB2312"/>
          <w:szCs w:val="28"/>
        </w:rPr>
        <w:t>桓仁满族自治县华来镇高台子村停车场充电设施规划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5</w:t>
      </w:r>
      <w:r>
        <w:rPr>
          <w:rFonts w:hint="eastAsia" w:cs="仿宋_GB2312"/>
          <w:szCs w:val="28"/>
        </w:rPr>
        <w:t>年</w:t>
      </w:r>
    </w:p>
    <w:p>
      <w:pPr>
        <w:spacing w:line="360" w:lineRule="auto"/>
        <w:ind w:firstLine="560" w:firstLineChars="200"/>
        <w:rPr>
          <w:rFonts w:hint="eastAsia" w:cs="仿宋_GB2312"/>
          <w:color w:val="FF0000"/>
          <w:szCs w:val="28"/>
        </w:rPr>
      </w:pPr>
      <w:r>
        <w:rPr>
          <w:rFonts w:hint="eastAsia" w:cs="仿宋_GB2312"/>
          <w:szCs w:val="28"/>
        </w:rPr>
        <w:t>建设必要性：为了满足高台子村附近居民及傅桓线的电动汽车充电需求。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3</w:t>
      </w:r>
      <w:r>
        <w:rPr>
          <w:rFonts w:hint="eastAsia" w:cs="仿宋_GB2312"/>
          <w:szCs w:val="28"/>
        </w:rPr>
        <w:t>台快充</w:t>
      </w:r>
      <w:r>
        <w:rPr>
          <w:rFonts w:cs="仿宋_GB2312"/>
          <w:szCs w:val="28"/>
        </w:rPr>
        <w:t>60</w:t>
      </w:r>
      <w:r>
        <w:rPr>
          <w:rFonts w:hint="eastAsia" w:cs="仿宋_GB2312"/>
          <w:szCs w:val="28"/>
        </w:rPr>
        <w:t>kW充电桩。</w:t>
      </w:r>
    </w:p>
    <w:p>
      <w:pPr>
        <w:pStyle w:val="217"/>
        <w:spacing w:line="240" w:lineRule="auto"/>
        <w:ind w:firstLine="420"/>
        <w:rPr>
          <w:rFonts w:ascii="黑体" w:hAnsi="黑体" w:eastAsia="黑体"/>
          <w:b/>
          <w:sz w:val="20"/>
        </w:rPr>
      </w:pPr>
      <w:r>
        <w:rPr>
          <w:rFonts w:ascii="黑体" w:hAnsi="黑体" w:eastAsia="黑体"/>
          <w:b/>
          <w:sz w:val="20"/>
        </w:rPr>
        <w:drawing>
          <wp:inline distT="0" distB="0" distL="0" distR="0">
            <wp:extent cx="3436620" cy="2324100"/>
            <wp:effectExtent l="0" t="0" r="0" b="0"/>
            <wp:docPr id="10307467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46773" name="图片 1"/>
                    <pic:cNvPicPr>
                      <a:picLocks noChangeAspect="1"/>
                    </pic:cNvPicPr>
                  </pic:nvPicPr>
                  <pic:blipFill>
                    <a:blip r:embed="rId31"/>
                    <a:stretch>
                      <a:fillRect/>
                    </a:stretch>
                  </pic:blipFill>
                  <pic:spPr>
                    <a:xfrm>
                      <a:off x="0" y="0"/>
                      <a:ext cx="3436918" cy="2324301"/>
                    </a:xfrm>
                    <a:prstGeom prst="rect">
                      <a:avLst/>
                    </a:prstGeom>
                  </pic:spPr>
                </pic:pic>
              </a:graphicData>
            </a:graphic>
          </wp:inline>
        </w:drawing>
      </w:r>
    </w:p>
    <w:p>
      <w:pPr>
        <w:pStyle w:val="8"/>
      </w:pPr>
      <w:r>
        <w:rPr>
          <w:rFonts w:hint="eastAsia"/>
        </w:rPr>
        <w:t>桓仁满族自治县华来镇高台子村停车场卫星地理图</w:t>
      </w:r>
    </w:p>
    <w:p>
      <w:pPr>
        <w:pStyle w:val="6"/>
        <w:ind w:firstLine="560"/>
        <w:rPr>
          <w:rFonts w:hint="eastAsia"/>
        </w:rPr>
      </w:pPr>
      <w:r>
        <w:rPr>
          <w:rFonts w:hint="eastAsia" w:cs="仿宋_GB2312"/>
          <w:szCs w:val="28"/>
        </w:rPr>
        <w:t>桓仁满族自治县华来镇朱家堡村停车场充电设施规划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5</w:t>
      </w:r>
      <w:r>
        <w:rPr>
          <w:rFonts w:hint="eastAsia" w:cs="仿宋_GB2312"/>
          <w:szCs w:val="28"/>
        </w:rPr>
        <w:t>年</w:t>
      </w:r>
    </w:p>
    <w:p>
      <w:pPr>
        <w:spacing w:line="360" w:lineRule="auto"/>
        <w:ind w:firstLine="560" w:firstLineChars="200"/>
        <w:rPr>
          <w:rFonts w:hint="eastAsia" w:cs="仿宋_GB2312"/>
          <w:color w:val="FF0000"/>
          <w:szCs w:val="28"/>
        </w:rPr>
      </w:pPr>
      <w:r>
        <w:rPr>
          <w:rFonts w:hint="eastAsia" w:cs="仿宋_GB2312"/>
          <w:szCs w:val="28"/>
        </w:rPr>
        <w:t>建设必要性：为了满足朱家堡村居民的电动汽车充电需求。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3</w:t>
      </w:r>
      <w:r>
        <w:rPr>
          <w:rFonts w:hint="eastAsia" w:cs="仿宋_GB2312"/>
          <w:szCs w:val="28"/>
        </w:rPr>
        <w:t>台快充</w:t>
      </w:r>
      <w:r>
        <w:rPr>
          <w:rFonts w:cs="仿宋_GB2312"/>
          <w:szCs w:val="28"/>
        </w:rPr>
        <w:t>60</w:t>
      </w:r>
      <w:r>
        <w:rPr>
          <w:rFonts w:hint="eastAsia" w:cs="仿宋_GB2312"/>
          <w:szCs w:val="28"/>
        </w:rPr>
        <w:t>kW充电桩。</w:t>
      </w:r>
    </w:p>
    <w:p>
      <w:pPr>
        <w:pStyle w:val="217"/>
        <w:spacing w:line="240" w:lineRule="auto"/>
        <w:ind w:firstLine="420"/>
        <w:rPr>
          <w:rFonts w:ascii="黑体" w:hAnsi="黑体" w:eastAsia="黑体"/>
          <w:b/>
          <w:sz w:val="20"/>
        </w:rPr>
      </w:pPr>
      <w:r>
        <w:rPr>
          <w:rFonts w:ascii="黑体" w:hAnsi="黑体" w:eastAsia="黑体"/>
          <w:b/>
          <w:sz w:val="20"/>
        </w:rPr>
        <w:drawing>
          <wp:inline distT="0" distB="0" distL="0" distR="0">
            <wp:extent cx="3436620" cy="2324100"/>
            <wp:effectExtent l="0" t="0" r="0" b="0"/>
            <wp:docPr id="11987167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716788" name="图片 1"/>
                    <pic:cNvPicPr>
                      <a:picLocks noChangeAspect="1"/>
                    </pic:cNvPicPr>
                  </pic:nvPicPr>
                  <pic:blipFill>
                    <a:blip r:embed="rId32"/>
                    <a:stretch>
                      <a:fillRect/>
                    </a:stretch>
                  </pic:blipFill>
                  <pic:spPr>
                    <a:xfrm>
                      <a:off x="0" y="0"/>
                      <a:ext cx="3436918" cy="2324301"/>
                    </a:xfrm>
                    <a:prstGeom prst="rect">
                      <a:avLst/>
                    </a:prstGeom>
                  </pic:spPr>
                </pic:pic>
              </a:graphicData>
            </a:graphic>
          </wp:inline>
        </w:drawing>
      </w:r>
    </w:p>
    <w:p>
      <w:pPr>
        <w:pStyle w:val="8"/>
      </w:pPr>
      <w:r>
        <w:rPr>
          <w:rFonts w:hint="eastAsia"/>
        </w:rPr>
        <w:t>桓仁满族自治县华来镇朱家堡村停车场卫星地理图</w:t>
      </w:r>
    </w:p>
    <w:p>
      <w:pPr>
        <w:pStyle w:val="5"/>
      </w:pPr>
      <w:r>
        <w:rPr>
          <w:bCs/>
          <w:sz w:val="32"/>
          <w:szCs w:val="32"/>
        </w:rPr>
        <w:t xml:space="preserve">  2026</w:t>
      </w:r>
      <w:r>
        <w:rPr>
          <w:rFonts w:hint="eastAsia"/>
          <w:bCs/>
          <w:sz w:val="32"/>
          <w:szCs w:val="32"/>
        </w:rPr>
        <w:t>年公共充电设施规划</w:t>
      </w:r>
    </w:p>
    <w:p>
      <w:pPr>
        <w:spacing w:line="360" w:lineRule="auto"/>
        <w:ind w:firstLine="560" w:firstLineChars="200"/>
        <w:jc w:val="left"/>
        <w:rPr>
          <w:rFonts w:hint="eastAsia"/>
        </w:rPr>
      </w:pPr>
      <w:r>
        <w:rPr>
          <w:rFonts w:hint="eastAsia" w:cs="仿宋_GB2312"/>
          <w:szCs w:val="22"/>
        </w:rPr>
        <w:t>2</w:t>
      </w:r>
      <w:r>
        <w:rPr>
          <w:rFonts w:cs="仿宋_GB2312"/>
          <w:szCs w:val="22"/>
        </w:rPr>
        <w:t>026</w:t>
      </w:r>
      <w:r>
        <w:rPr>
          <w:rFonts w:hint="eastAsia" w:cs="仿宋_GB2312"/>
          <w:szCs w:val="22"/>
        </w:rPr>
        <w:t>年桓仁满族自治县</w:t>
      </w:r>
      <w:r>
        <w:rPr>
          <w:rFonts w:cs="仿宋_GB2312"/>
          <w:szCs w:val="22"/>
        </w:rPr>
        <w:t>规划新建公共充电站</w:t>
      </w:r>
      <w:r>
        <w:rPr>
          <w:rFonts w:hint="eastAsia" w:cs="仿宋_GB2312"/>
          <w:szCs w:val="22"/>
        </w:rPr>
        <w:t>9</w:t>
      </w:r>
      <w:r>
        <w:rPr>
          <w:rFonts w:cs="仿宋_GB2312"/>
          <w:szCs w:val="22"/>
        </w:rPr>
        <w:t>座，新增公共充电桩</w:t>
      </w:r>
      <w:r>
        <w:rPr>
          <w:rFonts w:hint="eastAsia" w:cs="仿宋_GB2312"/>
          <w:szCs w:val="22"/>
        </w:rPr>
        <w:t>42</w:t>
      </w:r>
      <w:r>
        <w:rPr>
          <w:rFonts w:cs="仿宋_GB2312"/>
          <w:szCs w:val="22"/>
        </w:rPr>
        <w:t>个</w:t>
      </w:r>
      <w:r>
        <w:rPr>
          <w:rFonts w:hint="eastAsia"/>
        </w:rPr>
        <w:t>（充电枪42个）</w:t>
      </w:r>
      <w:r>
        <w:rPr>
          <w:rFonts w:cs="仿宋_GB2312"/>
          <w:szCs w:val="22"/>
        </w:rPr>
        <w:t>，</w:t>
      </w:r>
      <w:r>
        <w:rPr>
          <w:rFonts w:hint="eastAsia" w:cs="仿宋_GB2312"/>
          <w:szCs w:val="22"/>
        </w:rPr>
        <w:t>全部为</w:t>
      </w:r>
      <w:r>
        <w:rPr>
          <w:rFonts w:cs="仿宋_GB2312"/>
          <w:szCs w:val="22"/>
        </w:rPr>
        <w:t>快充充电桩。</w:t>
      </w:r>
      <w:r>
        <w:rPr>
          <w:rFonts w:hint="eastAsia" w:cs="仿宋_GB2312"/>
          <w:szCs w:val="22"/>
        </w:rPr>
        <w:t>桓仁满族自治县2</w:t>
      </w:r>
      <w:r>
        <w:rPr>
          <w:rFonts w:cs="仿宋_GB2312"/>
          <w:szCs w:val="22"/>
        </w:rPr>
        <w:t>026</w:t>
      </w:r>
      <w:r>
        <w:rPr>
          <w:rFonts w:hint="eastAsia" w:cs="仿宋_GB2312"/>
          <w:szCs w:val="22"/>
        </w:rPr>
        <w:t>年</w:t>
      </w:r>
      <w:r>
        <w:rPr>
          <w:rFonts w:cs="仿宋_GB2312"/>
          <w:szCs w:val="22"/>
        </w:rPr>
        <w:t>规划公共充电设施站点如下所示。</w:t>
      </w:r>
      <w:r>
        <w:drawing>
          <wp:inline distT="0" distB="0" distL="0" distR="0">
            <wp:extent cx="5274310" cy="3729355"/>
            <wp:effectExtent l="0" t="0" r="2540" b="4445"/>
            <wp:docPr id="19226177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617747" name="图片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5274310" cy="3729355"/>
                    </a:xfrm>
                    <a:prstGeom prst="rect">
                      <a:avLst/>
                    </a:prstGeom>
                    <a:noFill/>
                    <a:ln>
                      <a:noFill/>
                    </a:ln>
                  </pic:spPr>
                </pic:pic>
              </a:graphicData>
            </a:graphic>
          </wp:inline>
        </w:drawing>
      </w:r>
      <w:r>
        <w:t xml:space="preserve"> </w:t>
      </w:r>
    </w:p>
    <w:p>
      <w:pPr>
        <w:pStyle w:val="8"/>
      </w:pPr>
      <w:r>
        <w:rPr>
          <w:rFonts w:hint="eastAsia"/>
        </w:rPr>
        <w:t>桓仁满族自治县2</w:t>
      </w:r>
      <w:r>
        <w:t>026</w:t>
      </w:r>
      <w:r>
        <w:rPr>
          <w:rFonts w:hint="eastAsia"/>
        </w:rPr>
        <w:t>年</w:t>
      </w:r>
      <w:r>
        <w:t>公共充电设施</w:t>
      </w:r>
      <w:r>
        <w:rPr>
          <w:rFonts w:hint="eastAsia"/>
        </w:rPr>
        <w:t>点位</w:t>
      </w:r>
      <w:r>
        <w:t>布局</w:t>
      </w:r>
    </w:p>
    <w:p>
      <w:pPr>
        <w:pStyle w:val="7"/>
      </w:pPr>
      <w:r>
        <w:rPr>
          <w:rFonts w:hint="eastAsia"/>
        </w:rPr>
        <w:t>桓仁满族自治县2</w:t>
      </w:r>
      <w:r>
        <w:t>026</w:t>
      </w:r>
      <w:r>
        <w:rPr>
          <w:rFonts w:hint="eastAsia"/>
        </w:rPr>
        <w:t>年</w:t>
      </w:r>
      <w:r>
        <w:t>公共充电设施规划项目表</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438"/>
        <w:gridCol w:w="2716"/>
        <w:gridCol w:w="3513"/>
        <w:gridCol w:w="438"/>
        <w:gridCol w:w="438"/>
        <w:gridCol w:w="81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233" w:type="pct"/>
            <w:vMerge w:val="restart"/>
            <w:shd w:val="clear" w:color="auto" w:fill="D9D9D9"/>
            <w:noWrap/>
            <w:vAlign w:val="center"/>
          </w:tcPr>
          <w:p>
            <w:pPr>
              <w:spacing w:line="240" w:lineRule="auto"/>
              <w:jc w:val="center"/>
              <w:rPr>
                <w:rFonts w:hint="eastAsia"/>
                <w:b/>
                <w:sz w:val="19"/>
              </w:rPr>
            </w:pPr>
            <w:r>
              <w:rPr>
                <w:rFonts w:hint="eastAsia"/>
                <w:b/>
                <w:sz w:val="19"/>
              </w:rPr>
              <w:t>序号</w:t>
            </w:r>
          </w:p>
        </w:tc>
        <w:tc>
          <w:tcPr>
            <w:tcW w:w="1344" w:type="pct"/>
            <w:vMerge w:val="restart"/>
            <w:shd w:val="clear" w:color="auto" w:fill="D9D9D9"/>
            <w:noWrap/>
            <w:vAlign w:val="center"/>
          </w:tcPr>
          <w:p>
            <w:pPr>
              <w:spacing w:line="240" w:lineRule="auto"/>
              <w:jc w:val="center"/>
              <w:rPr>
                <w:rFonts w:hint="eastAsia"/>
                <w:b/>
                <w:sz w:val="19"/>
              </w:rPr>
            </w:pPr>
            <w:r>
              <w:rPr>
                <w:rFonts w:hint="eastAsia"/>
                <w:b/>
                <w:sz w:val="19"/>
              </w:rPr>
              <w:t>停车场名称</w:t>
            </w:r>
          </w:p>
        </w:tc>
        <w:tc>
          <w:tcPr>
            <w:tcW w:w="2528" w:type="pct"/>
            <w:vMerge w:val="restart"/>
            <w:shd w:val="clear" w:color="auto" w:fill="D9D9D9"/>
            <w:noWrap/>
            <w:vAlign w:val="center"/>
          </w:tcPr>
          <w:p>
            <w:pPr>
              <w:spacing w:line="240" w:lineRule="auto"/>
              <w:jc w:val="center"/>
              <w:rPr>
                <w:rFonts w:hint="eastAsia"/>
                <w:b/>
                <w:sz w:val="19"/>
              </w:rPr>
            </w:pPr>
            <w:r>
              <w:rPr>
                <w:rFonts w:hint="eastAsia"/>
                <w:b/>
                <w:sz w:val="19"/>
              </w:rPr>
              <w:t>具体位置</w:t>
            </w:r>
          </w:p>
        </w:tc>
        <w:tc>
          <w:tcPr>
            <w:tcW w:w="465" w:type="pct"/>
            <w:gridSpan w:val="2"/>
            <w:shd w:val="clear" w:color="auto" w:fill="D9D9D9"/>
            <w:vAlign w:val="center"/>
          </w:tcPr>
          <w:p>
            <w:pPr>
              <w:spacing w:line="240" w:lineRule="auto"/>
              <w:jc w:val="center"/>
              <w:rPr>
                <w:rFonts w:hint="eastAsia"/>
                <w:b/>
                <w:sz w:val="19"/>
              </w:rPr>
            </w:pPr>
            <w:r>
              <w:rPr>
                <w:rFonts w:hint="eastAsia"/>
                <w:b/>
                <w:sz w:val="19"/>
              </w:rPr>
              <w:t>设置充电桩设施数量（台）</w:t>
            </w:r>
          </w:p>
        </w:tc>
        <w:tc>
          <w:tcPr>
            <w:tcW w:w="430" w:type="pct"/>
            <w:vMerge w:val="restart"/>
            <w:shd w:val="clear" w:color="auto" w:fill="D9D9D9"/>
            <w:noWrap/>
            <w:vAlign w:val="center"/>
          </w:tcPr>
          <w:p>
            <w:pPr>
              <w:spacing w:line="240" w:lineRule="auto"/>
              <w:jc w:val="center"/>
              <w:rPr>
                <w:rFonts w:hint="eastAsia"/>
                <w:b/>
                <w:sz w:val="19"/>
              </w:rPr>
            </w:pPr>
            <w:r>
              <w:rPr>
                <w:rFonts w:hint="eastAsia"/>
                <w:b/>
                <w:sz w:val="19"/>
              </w:rPr>
              <w:t>建设年份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233" w:type="pct"/>
            <w:vMerge w:val="continue"/>
            <w:shd w:val="clear" w:color="auto" w:fill="D9D9D9"/>
            <w:vAlign w:val="center"/>
          </w:tcPr>
          <w:p>
            <w:pPr>
              <w:spacing w:line="240" w:lineRule="auto"/>
              <w:jc w:val="center"/>
              <w:rPr>
                <w:rFonts w:hint="eastAsia"/>
                <w:b/>
                <w:sz w:val="19"/>
              </w:rPr>
            </w:pPr>
          </w:p>
        </w:tc>
        <w:tc>
          <w:tcPr>
            <w:tcW w:w="1344" w:type="pct"/>
            <w:vMerge w:val="continue"/>
            <w:shd w:val="clear" w:color="auto" w:fill="D9D9D9"/>
            <w:vAlign w:val="center"/>
          </w:tcPr>
          <w:p>
            <w:pPr>
              <w:spacing w:line="240" w:lineRule="auto"/>
              <w:jc w:val="center"/>
              <w:rPr>
                <w:rFonts w:hint="eastAsia"/>
                <w:b/>
                <w:sz w:val="19"/>
              </w:rPr>
            </w:pPr>
          </w:p>
        </w:tc>
        <w:tc>
          <w:tcPr>
            <w:tcW w:w="2528" w:type="pct"/>
            <w:vMerge w:val="continue"/>
            <w:shd w:val="clear" w:color="auto" w:fill="D9D9D9"/>
            <w:vAlign w:val="center"/>
          </w:tcPr>
          <w:p>
            <w:pPr>
              <w:spacing w:line="240" w:lineRule="auto"/>
              <w:jc w:val="center"/>
              <w:rPr>
                <w:rFonts w:hint="eastAsia"/>
                <w:b/>
                <w:sz w:val="19"/>
              </w:rPr>
            </w:pPr>
          </w:p>
        </w:tc>
        <w:tc>
          <w:tcPr>
            <w:tcW w:w="232" w:type="pct"/>
            <w:shd w:val="clear" w:color="auto" w:fill="D9D9D9"/>
            <w:noWrap/>
            <w:vAlign w:val="center"/>
          </w:tcPr>
          <w:p>
            <w:pPr>
              <w:spacing w:line="240" w:lineRule="auto"/>
              <w:jc w:val="center"/>
              <w:rPr>
                <w:rFonts w:hint="eastAsia"/>
                <w:b/>
                <w:sz w:val="19"/>
              </w:rPr>
            </w:pPr>
            <w:r>
              <w:rPr>
                <w:rFonts w:hint="eastAsia"/>
                <w:b/>
                <w:sz w:val="19"/>
              </w:rPr>
              <w:t>快充</w:t>
            </w:r>
          </w:p>
        </w:tc>
        <w:tc>
          <w:tcPr>
            <w:tcW w:w="232" w:type="pct"/>
            <w:shd w:val="clear" w:color="auto" w:fill="D9D9D9"/>
            <w:noWrap/>
            <w:vAlign w:val="center"/>
          </w:tcPr>
          <w:p>
            <w:pPr>
              <w:spacing w:line="240" w:lineRule="auto"/>
              <w:jc w:val="center"/>
              <w:rPr>
                <w:rFonts w:hint="eastAsia"/>
                <w:b/>
                <w:sz w:val="19"/>
              </w:rPr>
            </w:pPr>
            <w:r>
              <w:rPr>
                <w:rFonts w:hint="eastAsia"/>
                <w:b/>
                <w:sz w:val="19"/>
              </w:rPr>
              <w:t>慢充</w:t>
            </w:r>
          </w:p>
        </w:tc>
        <w:tc>
          <w:tcPr>
            <w:tcW w:w="430" w:type="pct"/>
            <w:vMerge w:val="continue"/>
            <w:shd w:val="clear" w:color="auto" w:fill="D9D9D9"/>
            <w:vAlign w:val="center"/>
          </w:tcPr>
          <w:p>
            <w:pPr>
              <w:spacing w:line="240" w:lineRule="auto"/>
              <w:jc w:val="center"/>
              <w:rPr>
                <w:rFonts w:hint="eastAsia"/>
                <w:b/>
                <w:sz w:val="19"/>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3" w:type="pct"/>
            <w:shd w:val="clear" w:color="auto" w:fill="auto"/>
            <w:noWrap/>
            <w:vAlign w:val="center"/>
          </w:tcPr>
          <w:p>
            <w:pPr>
              <w:spacing w:line="240" w:lineRule="auto"/>
              <w:jc w:val="center"/>
              <w:rPr>
                <w:rFonts w:hint="eastAsia"/>
                <w:sz w:val="19"/>
              </w:rPr>
            </w:pPr>
            <w:r>
              <w:rPr>
                <w:rFonts w:hint="eastAsia"/>
                <w:sz w:val="19"/>
              </w:rPr>
              <w:t>1</w:t>
            </w:r>
          </w:p>
        </w:tc>
        <w:tc>
          <w:tcPr>
            <w:tcW w:w="1344" w:type="pct"/>
            <w:shd w:val="clear" w:color="auto" w:fill="auto"/>
            <w:noWrap/>
            <w:vAlign w:val="center"/>
          </w:tcPr>
          <w:p>
            <w:pPr>
              <w:spacing w:line="240" w:lineRule="auto"/>
              <w:jc w:val="center"/>
              <w:rPr>
                <w:rFonts w:hint="eastAsia"/>
                <w:sz w:val="19"/>
              </w:rPr>
            </w:pPr>
            <w:r>
              <w:rPr>
                <w:rFonts w:hint="eastAsia"/>
                <w:sz w:val="19"/>
              </w:rPr>
              <w:t>望天洞景区</w:t>
            </w:r>
          </w:p>
        </w:tc>
        <w:tc>
          <w:tcPr>
            <w:tcW w:w="2528" w:type="pct"/>
            <w:shd w:val="clear" w:color="auto" w:fill="auto"/>
            <w:noWrap/>
            <w:vAlign w:val="center"/>
          </w:tcPr>
          <w:p>
            <w:pPr>
              <w:spacing w:line="240" w:lineRule="auto"/>
              <w:jc w:val="center"/>
              <w:rPr>
                <w:rFonts w:hint="eastAsia"/>
                <w:sz w:val="19"/>
              </w:rPr>
            </w:pPr>
            <w:r>
              <w:rPr>
                <w:rFonts w:hint="eastAsia"/>
                <w:sz w:val="19"/>
              </w:rPr>
              <w:t>桓仁满族自治县201国道旁</w:t>
            </w:r>
          </w:p>
        </w:tc>
        <w:tc>
          <w:tcPr>
            <w:tcW w:w="232" w:type="pct"/>
            <w:shd w:val="clear" w:color="auto" w:fill="auto"/>
            <w:noWrap/>
            <w:vAlign w:val="center"/>
          </w:tcPr>
          <w:p>
            <w:pPr>
              <w:spacing w:line="240" w:lineRule="auto"/>
              <w:jc w:val="center"/>
              <w:rPr>
                <w:rFonts w:hint="eastAsia"/>
                <w:sz w:val="19"/>
              </w:rPr>
            </w:pPr>
            <w:r>
              <w:rPr>
                <w:rFonts w:hint="eastAsia"/>
                <w:sz w:val="19"/>
              </w:rPr>
              <w:t>15</w:t>
            </w:r>
          </w:p>
        </w:tc>
        <w:tc>
          <w:tcPr>
            <w:tcW w:w="232" w:type="pct"/>
            <w:shd w:val="clear" w:color="auto" w:fill="auto"/>
            <w:noWrap/>
            <w:vAlign w:val="center"/>
          </w:tcPr>
          <w:p>
            <w:pPr>
              <w:spacing w:line="240" w:lineRule="auto"/>
              <w:jc w:val="center"/>
              <w:rPr>
                <w:rFonts w:hint="eastAsia"/>
                <w:sz w:val="19"/>
              </w:rPr>
            </w:pPr>
            <w:r>
              <w:rPr>
                <w:rFonts w:hint="eastAsia"/>
                <w:sz w:val="19"/>
              </w:rPr>
              <w:t>0</w:t>
            </w:r>
          </w:p>
        </w:tc>
        <w:tc>
          <w:tcPr>
            <w:tcW w:w="430" w:type="pct"/>
            <w:shd w:val="clear" w:color="auto" w:fill="auto"/>
            <w:noWrap/>
            <w:vAlign w:val="center"/>
          </w:tcPr>
          <w:p>
            <w:pPr>
              <w:spacing w:line="240" w:lineRule="auto"/>
              <w:jc w:val="center"/>
              <w:rPr>
                <w:rFonts w:hint="eastAsia"/>
                <w:sz w:val="19"/>
              </w:rPr>
            </w:pPr>
            <w:r>
              <w:rPr>
                <w:rFonts w:hint="eastAsia"/>
                <w:sz w:val="19"/>
              </w:rPr>
              <w:t>2026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3" w:type="pct"/>
            <w:shd w:val="clear" w:color="auto" w:fill="auto"/>
            <w:noWrap/>
            <w:vAlign w:val="center"/>
          </w:tcPr>
          <w:p>
            <w:pPr>
              <w:spacing w:line="240" w:lineRule="auto"/>
              <w:jc w:val="center"/>
              <w:rPr>
                <w:rFonts w:hint="eastAsia"/>
                <w:sz w:val="19"/>
              </w:rPr>
            </w:pPr>
            <w:r>
              <w:rPr>
                <w:rFonts w:hint="eastAsia"/>
                <w:sz w:val="19"/>
              </w:rPr>
              <w:t>2</w:t>
            </w:r>
          </w:p>
        </w:tc>
        <w:tc>
          <w:tcPr>
            <w:tcW w:w="1344" w:type="pct"/>
            <w:shd w:val="clear" w:color="auto" w:fill="auto"/>
            <w:noWrap/>
            <w:vAlign w:val="center"/>
          </w:tcPr>
          <w:p>
            <w:pPr>
              <w:spacing w:line="240" w:lineRule="auto"/>
              <w:jc w:val="center"/>
              <w:rPr>
                <w:rFonts w:hint="eastAsia"/>
                <w:sz w:val="19"/>
              </w:rPr>
            </w:pPr>
            <w:r>
              <w:rPr>
                <w:rFonts w:hint="eastAsia"/>
                <w:sz w:val="19"/>
              </w:rPr>
              <w:t>桓仁满族自治县顺达加油站</w:t>
            </w:r>
          </w:p>
        </w:tc>
        <w:tc>
          <w:tcPr>
            <w:tcW w:w="2528" w:type="pct"/>
            <w:shd w:val="clear" w:color="auto" w:fill="auto"/>
            <w:noWrap/>
            <w:vAlign w:val="center"/>
          </w:tcPr>
          <w:p>
            <w:pPr>
              <w:spacing w:line="240" w:lineRule="auto"/>
              <w:jc w:val="center"/>
              <w:rPr>
                <w:rFonts w:hint="eastAsia"/>
                <w:sz w:val="19"/>
              </w:rPr>
            </w:pPr>
            <w:r>
              <w:rPr>
                <w:rFonts w:hint="eastAsia"/>
                <w:sz w:val="19"/>
              </w:rPr>
              <w:t>丹霍线</w:t>
            </w:r>
          </w:p>
        </w:tc>
        <w:tc>
          <w:tcPr>
            <w:tcW w:w="232" w:type="pct"/>
            <w:shd w:val="clear" w:color="auto" w:fill="auto"/>
            <w:noWrap/>
            <w:vAlign w:val="center"/>
          </w:tcPr>
          <w:p>
            <w:pPr>
              <w:spacing w:line="240" w:lineRule="auto"/>
              <w:jc w:val="center"/>
              <w:rPr>
                <w:rFonts w:hint="eastAsia"/>
                <w:sz w:val="19"/>
              </w:rPr>
            </w:pPr>
            <w:r>
              <w:rPr>
                <w:rFonts w:hint="eastAsia"/>
                <w:sz w:val="19"/>
              </w:rPr>
              <w:t>3</w:t>
            </w:r>
          </w:p>
        </w:tc>
        <w:tc>
          <w:tcPr>
            <w:tcW w:w="232" w:type="pct"/>
            <w:shd w:val="clear" w:color="auto" w:fill="auto"/>
            <w:noWrap/>
            <w:vAlign w:val="center"/>
          </w:tcPr>
          <w:p>
            <w:pPr>
              <w:spacing w:line="240" w:lineRule="auto"/>
              <w:jc w:val="center"/>
              <w:rPr>
                <w:rFonts w:hint="eastAsia"/>
                <w:sz w:val="19"/>
              </w:rPr>
            </w:pPr>
            <w:r>
              <w:rPr>
                <w:rFonts w:hint="eastAsia"/>
                <w:sz w:val="19"/>
              </w:rPr>
              <w:t>0</w:t>
            </w:r>
          </w:p>
        </w:tc>
        <w:tc>
          <w:tcPr>
            <w:tcW w:w="430" w:type="pct"/>
            <w:shd w:val="clear" w:color="auto" w:fill="auto"/>
            <w:noWrap/>
            <w:vAlign w:val="center"/>
          </w:tcPr>
          <w:p>
            <w:pPr>
              <w:spacing w:line="240" w:lineRule="auto"/>
              <w:jc w:val="center"/>
              <w:rPr>
                <w:rFonts w:hint="eastAsia"/>
                <w:sz w:val="19"/>
              </w:rPr>
            </w:pPr>
            <w:r>
              <w:rPr>
                <w:rFonts w:hint="eastAsia"/>
                <w:sz w:val="19"/>
              </w:rPr>
              <w:t>2026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3" w:type="pct"/>
            <w:shd w:val="clear" w:color="auto" w:fill="auto"/>
            <w:noWrap/>
            <w:vAlign w:val="center"/>
          </w:tcPr>
          <w:p>
            <w:pPr>
              <w:spacing w:line="240" w:lineRule="auto"/>
              <w:jc w:val="center"/>
              <w:rPr>
                <w:rFonts w:hint="eastAsia"/>
                <w:sz w:val="19"/>
              </w:rPr>
            </w:pPr>
            <w:r>
              <w:rPr>
                <w:rFonts w:hint="eastAsia"/>
                <w:sz w:val="19"/>
              </w:rPr>
              <w:t>3</w:t>
            </w:r>
          </w:p>
        </w:tc>
        <w:tc>
          <w:tcPr>
            <w:tcW w:w="1344" w:type="pct"/>
            <w:shd w:val="clear" w:color="auto" w:fill="auto"/>
            <w:noWrap/>
            <w:vAlign w:val="center"/>
          </w:tcPr>
          <w:p>
            <w:pPr>
              <w:spacing w:line="240" w:lineRule="auto"/>
              <w:jc w:val="center"/>
              <w:rPr>
                <w:rFonts w:hint="eastAsia"/>
                <w:sz w:val="19"/>
              </w:rPr>
            </w:pPr>
            <w:r>
              <w:rPr>
                <w:rFonts w:hint="eastAsia"/>
                <w:sz w:val="19"/>
              </w:rPr>
              <w:t>大牛沟村</w:t>
            </w:r>
          </w:p>
        </w:tc>
        <w:tc>
          <w:tcPr>
            <w:tcW w:w="2528" w:type="pct"/>
            <w:shd w:val="clear" w:color="auto" w:fill="auto"/>
            <w:noWrap/>
            <w:vAlign w:val="center"/>
          </w:tcPr>
          <w:p>
            <w:pPr>
              <w:spacing w:line="240" w:lineRule="auto"/>
              <w:jc w:val="center"/>
              <w:rPr>
                <w:rFonts w:hint="eastAsia"/>
                <w:sz w:val="19"/>
              </w:rPr>
            </w:pPr>
            <w:r>
              <w:rPr>
                <w:rFonts w:hint="eastAsia"/>
                <w:sz w:val="19"/>
              </w:rPr>
              <w:t>北甸子乡</w:t>
            </w:r>
          </w:p>
        </w:tc>
        <w:tc>
          <w:tcPr>
            <w:tcW w:w="232" w:type="pct"/>
            <w:shd w:val="clear" w:color="auto" w:fill="auto"/>
            <w:noWrap/>
            <w:vAlign w:val="center"/>
          </w:tcPr>
          <w:p>
            <w:pPr>
              <w:spacing w:line="240" w:lineRule="auto"/>
              <w:jc w:val="center"/>
              <w:rPr>
                <w:rFonts w:hint="eastAsia"/>
                <w:sz w:val="19"/>
              </w:rPr>
            </w:pPr>
            <w:r>
              <w:rPr>
                <w:rFonts w:hint="eastAsia"/>
                <w:sz w:val="19"/>
              </w:rPr>
              <w:t>3</w:t>
            </w:r>
          </w:p>
        </w:tc>
        <w:tc>
          <w:tcPr>
            <w:tcW w:w="232" w:type="pct"/>
            <w:shd w:val="clear" w:color="auto" w:fill="auto"/>
            <w:noWrap/>
            <w:vAlign w:val="center"/>
          </w:tcPr>
          <w:p>
            <w:pPr>
              <w:spacing w:line="240" w:lineRule="auto"/>
              <w:jc w:val="center"/>
              <w:rPr>
                <w:rFonts w:hint="eastAsia"/>
                <w:sz w:val="19"/>
              </w:rPr>
            </w:pPr>
            <w:r>
              <w:rPr>
                <w:rFonts w:hint="eastAsia"/>
                <w:sz w:val="19"/>
              </w:rPr>
              <w:t>0</w:t>
            </w:r>
          </w:p>
        </w:tc>
        <w:tc>
          <w:tcPr>
            <w:tcW w:w="430" w:type="pct"/>
            <w:shd w:val="clear" w:color="auto" w:fill="auto"/>
            <w:noWrap/>
            <w:vAlign w:val="center"/>
          </w:tcPr>
          <w:p>
            <w:pPr>
              <w:spacing w:line="240" w:lineRule="auto"/>
              <w:jc w:val="center"/>
              <w:rPr>
                <w:rFonts w:hint="eastAsia"/>
                <w:sz w:val="19"/>
              </w:rPr>
            </w:pPr>
            <w:r>
              <w:rPr>
                <w:rFonts w:hint="eastAsia"/>
                <w:sz w:val="19"/>
              </w:rPr>
              <w:t>2026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3" w:type="pct"/>
            <w:shd w:val="clear" w:color="auto" w:fill="auto"/>
            <w:noWrap/>
            <w:vAlign w:val="center"/>
          </w:tcPr>
          <w:p>
            <w:pPr>
              <w:spacing w:line="240" w:lineRule="auto"/>
              <w:jc w:val="center"/>
              <w:rPr>
                <w:rFonts w:hint="eastAsia"/>
                <w:sz w:val="19"/>
              </w:rPr>
            </w:pPr>
            <w:r>
              <w:rPr>
                <w:rFonts w:hint="eastAsia"/>
                <w:sz w:val="19"/>
              </w:rPr>
              <w:t>4</w:t>
            </w:r>
          </w:p>
        </w:tc>
        <w:tc>
          <w:tcPr>
            <w:tcW w:w="1344" w:type="pct"/>
            <w:shd w:val="clear" w:color="auto" w:fill="auto"/>
            <w:noWrap/>
            <w:vAlign w:val="center"/>
          </w:tcPr>
          <w:p>
            <w:pPr>
              <w:spacing w:line="240" w:lineRule="auto"/>
              <w:jc w:val="center"/>
              <w:rPr>
                <w:rFonts w:hint="eastAsia"/>
                <w:sz w:val="19"/>
              </w:rPr>
            </w:pPr>
            <w:r>
              <w:rPr>
                <w:rFonts w:hint="eastAsia"/>
                <w:sz w:val="19"/>
              </w:rPr>
              <w:t>普乐堡村村部</w:t>
            </w:r>
          </w:p>
        </w:tc>
        <w:tc>
          <w:tcPr>
            <w:tcW w:w="2528" w:type="pct"/>
            <w:shd w:val="clear" w:color="auto" w:fill="auto"/>
            <w:noWrap/>
            <w:vAlign w:val="center"/>
          </w:tcPr>
          <w:p>
            <w:pPr>
              <w:spacing w:line="240" w:lineRule="auto"/>
              <w:jc w:val="center"/>
              <w:rPr>
                <w:rFonts w:hint="eastAsia"/>
                <w:sz w:val="19"/>
              </w:rPr>
            </w:pPr>
            <w:r>
              <w:rPr>
                <w:rFonts w:hint="eastAsia"/>
                <w:sz w:val="19"/>
              </w:rPr>
              <w:t>桓仁满族自治县201国道北50米</w:t>
            </w:r>
          </w:p>
        </w:tc>
        <w:tc>
          <w:tcPr>
            <w:tcW w:w="232" w:type="pct"/>
            <w:shd w:val="clear" w:color="auto" w:fill="auto"/>
            <w:noWrap/>
            <w:vAlign w:val="center"/>
          </w:tcPr>
          <w:p>
            <w:pPr>
              <w:spacing w:line="240" w:lineRule="auto"/>
              <w:jc w:val="center"/>
              <w:rPr>
                <w:rFonts w:hint="eastAsia"/>
                <w:sz w:val="19"/>
              </w:rPr>
            </w:pPr>
            <w:r>
              <w:rPr>
                <w:rFonts w:hint="eastAsia"/>
                <w:sz w:val="19"/>
              </w:rPr>
              <w:t>3</w:t>
            </w:r>
          </w:p>
        </w:tc>
        <w:tc>
          <w:tcPr>
            <w:tcW w:w="232" w:type="pct"/>
            <w:shd w:val="clear" w:color="auto" w:fill="auto"/>
            <w:noWrap/>
            <w:vAlign w:val="center"/>
          </w:tcPr>
          <w:p>
            <w:pPr>
              <w:spacing w:line="240" w:lineRule="auto"/>
              <w:jc w:val="center"/>
              <w:rPr>
                <w:rFonts w:hint="eastAsia"/>
                <w:sz w:val="19"/>
              </w:rPr>
            </w:pPr>
            <w:r>
              <w:rPr>
                <w:rFonts w:hint="eastAsia"/>
                <w:sz w:val="19"/>
              </w:rPr>
              <w:t>0</w:t>
            </w:r>
          </w:p>
        </w:tc>
        <w:tc>
          <w:tcPr>
            <w:tcW w:w="430" w:type="pct"/>
            <w:shd w:val="clear" w:color="auto" w:fill="auto"/>
            <w:noWrap/>
            <w:vAlign w:val="center"/>
          </w:tcPr>
          <w:p>
            <w:pPr>
              <w:spacing w:line="240" w:lineRule="auto"/>
              <w:jc w:val="center"/>
              <w:rPr>
                <w:rFonts w:hint="eastAsia"/>
                <w:sz w:val="19"/>
              </w:rPr>
            </w:pPr>
            <w:r>
              <w:rPr>
                <w:rFonts w:hint="eastAsia"/>
                <w:sz w:val="19"/>
              </w:rPr>
              <w:t>2026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3" w:type="pct"/>
            <w:shd w:val="clear" w:color="auto" w:fill="auto"/>
            <w:noWrap/>
            <w:vAlign w:val="center"/>
          </w:tcPr>
          <w:p>
            <w:pPr>
              <w:spacing w:line="240" w:lineRule="auto"/>
              <w:jc w:val="center"/>
              <w:rPr>
                <w:rFonts w:hint="eastAsia"/>
                <w:sz w:val="19"/>
              </w:rPr>
            </w:pPr>
            <w:r>
              <w:rPr>
                <w:rFonts w:hint="eastAsia"/>
                <w:sz w:val="19"/>
              </w:rPr>
              <w:t>5</w:t>
            </w:r>
          </w:p>
        </w:tc>
        <w:tc>
          <w:tcPr>
            <w:tcW w:w="1344" w:type="pct"/>
            <w:shd w:val="clear" w:color="auto" w:fill="auto"/>
            <w:noWrap/>
            <w:vAlign w:val="center"/>
          </w:tcPr>
          <w:p>
            <w:pPr>
              <w:spacing w:line="240" w:lineRule="auto"/>
              <w:jc w:val="center"/>
              <w:rPr>
                <w:rFonts w:hint="eastAsia"/>
                <w:sz w:val="19"/>
              </w:rPr>
            </w:pPr>
            <w:r>
              <w:rPr>
                <w:rFonts w:hint="eastAsia"/>
                <w:sz w:val="19"/>
              </w:rPr>
              <w:t>龙泉村村部</w:t>
            </w:r>
          </w:p>
        </w:tc>
        <w:tc>
          <w:tcPr>
            <w:tcW w:w="2528" w:type="pct"/>
            <w:shd w:val="clear" w:color="auto" w:fill="auto"/>
            <w:noWrap/>
            <w:vAlign w:val="center"/>
          </w:tcPr>
          <w:p>
            <w:pPr>
              <w:spacing w:line="240" w:lineRule="auto"/>
              <w:jc w:val="center"/>
              <w:rPr>
                <w:rFonts w:hint="eastAsia"/>
                <w:sz w:val="19"/>
              </w:rPr>
            </w:pPr>
            <w:r>
              <w:rPr>
                <w:rFonts w:hint="eastAsia"/>
                <w:sz w:val="19"/>
              </w:rPr>
              <w:t>桓仁满族自治县普乐堡镇G201(鹤大线)</w:t>
            </w:r>
          </w:p>
        </w:tc>
        <w:tc>
          <w:tcPr>
            <w:tcW w:w="232" w:type="pct"/>
            <w:shd w:val="clear" w:color="auto" w:fill="auto"/>
            <w:noWrap/>
            <w:vAlign w:val="center"/>
          </w:tcPr>
          <w:p>
            <w:pPr>
              <w:spacing w:line="240" w:lineRule="auto"/>
              <w:jc w:val="center"/>
              <w:rPr>
                <w:rFonts w:hint="eastAsia"/>
                <w:sz w:val="19"/>
              </w:rPr>
            </w:pPr>
            <w:r>
              <w:rPr>
                <w:rFonts w:hint="eastAsia"/>
                <w:sz w:val="19"/>
              </w:rPr>
              <w:t>3</w:t>
            </w:r>
          </w:p>
        </w:tc>
        <w:tc>
          <w:tcPr>
            <w:tcW w:w="232" w:type="pct"/>
            <w:shd w:val="clear" w:color="auto" w:fill="auto"/>
            <w:noWrap/>
            <w:vAlign w:val="center"/>
          </w:tcPr>
          <w:p>
            <w:pPr>
              <w:spacing w:line="240" w:lineRule="auto"/>
              <w:jc w:val="center"/>
              <w:rPr>
                <w:rFonts w:hint="eastAsia"/>
                <w:sz w:val="19"/>
              </w:rPr>
            </w:pPr>
            <w:r>
              <w:rPr>
                <w:rFonts w:hint="eastAsia"/>
                <w:sz w:val="19"/>
              </w:rPr>
              <w:t>0</w:t>
            </w:r>
          </w:p>
        </w:tc>
        <w:tc>
          <w:tcPr>
            <w:tcW w:w="430" w:type="pct"/>
            <w:shd w:val="clear" w:color="auto" w:fill="auto"/>
            <w:noWrap/>
            <w:vAlign w:val="center"/>
          </w:tcPr>
          <w:p>
            <w:pPr>
              <w:spacing w:line="240" w:lineRule="auto"/>
              <w:jc w:val="center"/>
              <w:rPr>
                <w:rFonts w:hint="eastAsia"/>
                <w:sz w:val="19"/>
              </w:rPr>
            </w:pPr>
            <w:r>
              <w:rPr>
                <w:rFonts w:hint="eastAsia"/>
                <w:sz w:val="19"/>
              </w:rPr>
              <w:t>2026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3" w:type="pct"/>
            <w:shd w:val="clear" w:color="auto" w:fill="auto"/>
            <w:noWrap/>
            <w:vAlign w:val="center"/>
          </w:tcPr>
          <w:p>
            <w:pPr>
              <w:spacing w:line="240" w:lineRule="auto"/>
              <w:jc w:val="center"/>
              <w:rPr>
                <w:rFonts w:hint="eastAsia"/>
                <w:sz w:val="19"/>
              </w:rPr>
            </w:pPr>
            <w:r>
              <w:rPr>
                <w:rFonts w:hint="eastAsia"/>
                <w:sz w:val="19"/>
              </w:rPr>
              <w:t>6</w:t>
            </w:r>
          </w:p>
        </w:tc>
        <w:tc>
          <w:tcPr>
            <w:tcW w:w="1344" w:type="pct"/>
            <w:shd w:val="clear" w:color="auto" w:fill="auto"/>
            <w:noWrap/>
            <w:vAlign w:val="center"/>
          </w:tcPr>
          <w:p>
            <w:pPr>
              <w:spacing w:line="240" w:lineRule="auto"/>
              <w:jc w:val="center"/>
              <w:rPr>
                <w:rFonts w:hint="eastAsia"/>
                <w:sz w:val="19"/>
              </w:rPr>
            </w:pPr>
            <w:r>
              <w:rPr>
                <w:rFonts w:hint="eastAsia"/>
                <w:sz w:val="19"/>
              </w:rPr>
              <w:t>六道沟村</w:t>
            </w:r>
          </w:p>
        </w:tc>
        <w:tc>
          <w:tcPr>
            <w:tcW w:w="2528" w:type="pct"/>
            <w:shd w:val="clear" w:color="auto" w:fill="auto"/>
            <w:noWrap/>
            <w:vAlign w:val="center"/>
          </w:tcPr>
          <w:p>
            <w:pPr>
              <w:spacing w:line="240" w:lineRule="auto"/>
              <w:jc w:val="center"/>
              <w:rPr>
                <w:rFonts w:hint="eastAsia"/>
                <w:sz w:val="19"/>
              </w:rPr>
            </w:pPr>
            <w:r>
              <w:rPr>
                <w:rFonts w:hint="eastAsia"/>
                <w:sz w:val="19"/>
              </w:rPr>
              <w:t>本溪市桓仁满族自治县黑沟乡</w:t>
            </w:r>
          </w:p>
        </w:tc>
        <w:tc>
          <w:tcPr>
            <w:tcW w:w="232" w:type="pct"/>
            <w:shd w:val="clear" w:color="auto" w:fill="auto"/>
            <w:noWrap/>
            <w:vAlign w:val="center"/>
          </w:tcPr>
          <w:p>
            <w:pPr>
              <w:spacing w:line="240" w:lineRule="auto"/>
              <w:jc w:val="center"/>
              <w:rPr>
                <w:rFonts w:hint="eastAsia"/>
                <w:sz w:val="19"/>
              </w:rPr>
            </w:pPr>
            <w:r>
              <w:rPr>
                <w:rFonts w:hint="eastAsia"/>
                <w:sz w:val="19"/>
              </w:rPr>
              <w:t>3</w:t>
            </w:r>
          </w:p>
        </w:tc>
        <w:tc>
          <w:tcPr>
            <w:tcW w:w="232" w:type="pct"/>
            <w:shd w:val="clear" w:color="auto" w:fill="auto"/>
            <w:noWrap/>
            <w:vAlign w:val="center"/>
          </w:tcPr>
          <w:p>
            <w:pPr>
              <w:spacing w:line="240" w:lineRule="auto"/>
              <w:jc w:val="center"/>
              <w:rPr>
                <w:rFonts w:hint="eastAsia"/>
                <w:sz w:val="19"/>
              </w:rPr>
            </w:pPr>
            <w:r>
              <w:rPr>
                <w:rFonts w:hint="eastAsia"/>
                <w:sz w:val="19"/>
              </w:rPr>
              <w:t>0</w:t>
            </w:r>
          </w:p>
        </w:tc>
        <w:tc>
          <w:tcPr>
            <w:tcW w:w="430" w:type="pct"/>
            <w:shd w:val="clear" w:color="auto" w:fill="auto"/>
            <w:noWrap/>
            <w:vAlign w:val="center"/>
          </w:tcPr>
          <w:p>
            <w:pPr>
              <w:spacing w:line="240" w:lineRule="auto"/>
              <w:jc w:val="center"/>
              <w:rPr>
                <w:rFonts w:hint="eastAsia"/>
                <w:sz w:val="19"/>
              </w:rPr>
            </w:pPr>
            <w:r>
              <w:rPr>
                <w:rFonts w:hint="eastAsia"/>
                <w:sz w:val="19"/>
              </w:rPr>
              <w:t>2026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3" w:type="pct"/>
            <w:shd w:val="clear" w:color="auto" w:fill="auto"/>
            <w:noWrap/>
            <w:vAlign w:val="center"/>
          </w:tcPr>
          <w:p>
            <w:pPr>
              <w:spacing w:line="240" w:lineRule="auto"/>
              <w:jc w:val="center"/>
              <w:rPr>
                <w:rFonts w:hint="eastAsia"/>
                <w:sz w:val="19"/>
              </w:rPr>
            </w:pPr>
            <w:r>
              <w:rPr>
                <w:rFonts w:hint="eastAsia"/>
                <w:sz w:val="19"/>
              </w:rPr>
              <w:t>7</w:t>
            </w:r>
          </w:p>
        </w:tc>
        <w:tc>
          <w:tcPr>
            <w:tcW w:w="1344" w:type="pct"/>
            <w:shd w:val="clear" w:color="auto" w:fill="auto"/>
            <w:noWrap/>
            <w:vAlign w:val="center"/>
          </w:tcPr>
          <w:p>
            <w:pPr>
              <w:spacing w:line="240" w:lineRule="auto"/>
              <w:jc w:val="center"/>
              <w:rPr>
                <w:rFonts w:hint="eastAsia"/>
                <w:sz w:val="19"/>
              </w:rPr>
            </w:pPr>
            <w:r>
              <w:rPr>
                <w:rFonts w:hint="eastAsia"/>
                <w:sz w:val="19"/>
              </w:rPr>
              <w:t>五道河子</w:t>
            </w:r>
          </w:p>
        </w:tc>
        <w:tc>
          <w:tcPr>
            <w:tcW w:w="2528" w:type="pct"/>
            <w:shd w:val="clear" w:color="auto" w:fill="auto"/>
            <w:noWrap/>
            <w:vAlign w:val="center"/>
          </w:tcPr>
          <w:p>
            <w:pPr>
              <w:spacing w:line="240" w:lineRule="auto"/>
              <w:jc w:val="center"/>
              <w:rPr>
                <w:rFonts w:hint="eastAsia"/>
                <w:sz w:val="19"/>
              </w:rPr>
            </w:pPr>
            <w:r>
              <w:rPr>
                <w:rFonts w:hint="eastAsia"/>
                <w:sz w:val="19"/>
              </w:rPr>
              <w:t>村委会</w:t>
            </w:r>
          </w:p>
        </w:tc>
        <w:tc>
          <w:tcPr>
            <w:tcW w:w="232" w:type="pct"/>
            <w:shd w:val="clear" w:color="auto" w:fill="auto"/>
            <w:noWrap/>
            <w:vAlign w:val="center"/>
          </w:tcPr>
          <w:p>
            <w:pPr>
              <w:spacing w:line="240" w:lineRule="auto"/>
              <w:jc w:val="center"/>
              <w:rPr>
                <w:rFonts w:hint="eastAsia"/>
                <w:sz w:val="19"/>
              </w:rPr>
            </w:pPr>
            <w:r>
              <w:rPr>
                <w:rFonts w:hint="eastAsia"/>
                <w:sz w:val="19"/>
              </w:rPr>
              <w:t>3</w:t>
            </w:r>
          </w:p>
        </w:tc>
        <w:tc>
          <w:tcPr>
            <w:tcW w:w="232" w:type="pct"/>
            <w:shd w:val="clear" w:color="auto" w:fill="auto"/>
            <w:noWrap/>
            <w:vAlign w:val="center"/>
          </w:tcPr>
          <w:p>
            <w:pPr>
              <w:spacing w:line="240" w:lineRule="auto"/>
              <w:jc w:val="center"/>
              <w:rPr>
                <w:rFonts w:hint="eastAsia"/>
                <w:sz w:val="19"/>
              </w:rPr>
            </w:pPr>
            <w:r>
              <w:rPr>
                <w:rFonts w:hint="eastAsia"/>
                <w:sz w:val="19"/>
              </w:rPr>
              <w:t>0</w:t>
            </w:r>
          </w:p>
        </w:tc>
        <w:tc>
          <w:tcPr>
            <w:tcW w:w="430" w:type="pct"/>
            <w:shd w:val="clear" w:color="auto" w:fill="auto"/>
            <w:noWrap/>
            <w:vAlign w:val="center"/>
          </w:tcPr>
          <w:p>
            <w:pPr>
              <w:spacing w:line="240" w:lineRule="auto"/>
              <w:jc w:val="center"/>
              <w:rPr>
                <w:rFonts w:hint="eastAsia"/>
                <w:sz w:val="19"/>
              </w:rPr>
            </w:pPr>
            <w:r>
              <w:rPr>
                <w:rFonts w:hint="eastAsia"/>
                <w:sz w:val="19"/>
              </w:rPr>
              <w:t>2026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3" w:type="pct"/>
            <w:shd w:val="clear" w:color="auto" w:fill="auto"/>
            <w:noWrap/>
            <w:vAlign w:val="center"/>
          </w:tcPr>
          <w:p>
            <w:pPr>
              <w:spacing w:line="240" w:lineRule="auto"/>
              <w:jc w:val="center"/>
              <w:rPr>
                <w:rFonts w:hint="eastAsia"/>
                <w:sz w:val="19"/>
              </w:rPr>
            </w:pPr>
            <w:r>
              <w:rPr>
                <w:rFonts w:hint="eastAsia"/>
                <w:sz w:val="19"/>
              </w:rPr>
              <w:t>8</w:t>
            </w:r>
          </w:p>
        </w:tc>
        <w:tc>
          <w:tcPr>
            <w:tcW w:w="1344" w:type="pct"/>
            <w:shd w:val="clear" w:color="auto" w:fill="auto"/>
            <w:noWrap/>
            <w:vAlign w:val="center"/>
          </w:tcPr>
          <w:p>
            <w:pPr>
              <w:spacing w:line="240" w:lineRule="auto"/>
              <w:jc w:val="center"/>
              <w:rPr>
                <w:rFonts w:hint="eastAsia"/>
                <w:sz w:val="19"/>
              </w:rPr>
            </w:pPr>
            <w:r>
              <w:rPr>
                <w:rFonts w:hint="eastAsia"/>
                <w:sz w:val="19"/>
              </w:rPr>
              <w:t>马鹿泡村村民委员会</w:t>
            </w:r>
          </w:p>
        </w:tc>
        <w:tc>
          <w:tcPr>
            <w:tcW w:w="2528" w:type="pct"/>
            <w:shd w:val="clear" w:color="auto" w:fill="auto"/>
            <w:noWrap/>
            <w:vAlign w:val="center"/>
          </w:tcPr>
          <w:p>
            <w:pPr>
              <w:spacing w:line="240" w:lineRule="auto"/>
              <w:jc w:val="center"/>
              <w:rPr>
                <w:rFonts w:hint="eastAsia"/>
                <w:sz w:val="19"/>
              </w:rPr>
            </w:pPr>
            <w:r>
              <w:rPr>
                <w:rFonts w:hint="eastAsia"/>
                <w:sz w:val="19"/>
              </w:rPr>
              <w:t>村委会</w:t>
            </w:r>
          </w:p>
        </w:tc>
        <w:tc>
          <w:tcPr>
            <w:tcW w:w="232" w:type="pct"/>
            <w:shd w:val="clear" w:color="auto" w:fill="auto"/>
            <w:noWrap/>
            <w:vAlign w:val="center"/>
          </w:tcPr>
          <w:p>
            <w:pPr>
              <w:spacing w:line="240" w:lineRule="auto"/>
              <w:jc w:val="center"/>
              <w:rPr>
                <w:rFonts w:hint="eastAsia"/>
                <w:sz w:val="19"/>
              </w:rPr>
            </w:pPr>
            <w:r>
              <w:rPr>
                <w:rFonts w:hint="eastAsia"/>
                <w:sz w:val="19"/>
              </w:rPr>
              <w:t>3</w:t>
            </w:r>
          </w:p>
        </w:tc>
        <w:tc>
          <w:tcPr>
            <w:tcW w:w="232" w:type="pct"/>
            <w:shd w:val="clear" w:color="auto" w:fill="auto"/>
            <w:noWrap/>
            <w:vAlign w:val="center"/>
          </w:tcPr>
          <w:p>
            <w:pPr>
              <w:spacing w:line="240" w:lineRule="auto"/>
              <w:jc w:val="center"/>
              <w:rPr>
                <w:rFonts w:hint="eastAsia"/>
                <w:sz w:val="19"/>
              </w:rPr>
            </w:pPr>
            <w:r>
              <w:rPr>
                <w:rFonts w:hint="eastAsia"/>
                <w:sz w:val="19"/>
              </w:rPr>
              <w:t>0</w:t>
            </w:r>
          </w:p>
        </w:tc>
        <w:tc>
          <w:tcPr>
            <w:tcW w:w="430" w:type="pct"/>
            <w:shd w:val="clear" w:color="auto" w:fill="auto"/>
            <w:noWrap/>
            <w:vAlign w:val="center"/>
          </w:tcPr>
          <w:p>
            <w:pPr>
              <w:spacing w:line="240" w:lineRule="auto"/>
              <w:jc w:val="center"/>
              <w:rPr>
                <w:rFonts w:hint="eastAsia"/>
                <w:sz w:val="19"/>
              </w:rPr>
            </w:pPr>
            <w:r>
              <w:rPr>
                <w:rFonts w:hint="eastAsia"/>
                <w:sz w:val="19"/>
              </w:rPr>
              <w:t>2026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33" w:type="pct"/>
            <w:shd w:val="clear" w:color="auto" w:fill="auto"/>
            <w:noWrap/>
            <w:vAlign w:val="center"/>
          </w:tcPr>
          <w:p>
            <w:pPr>
              <w:spacing w:line="240" w:lineRule="auto"/>
              <w:jc w:val="center"/>
              <w:rPr>
                <w:rFonts w:hint="eastAsia"/>
                <w:sz w:val="19"/>
              </w:rPr>
            </w:pPr>
            <w:r>
              <w:rPr>
                <w:rFonts w:hint="eastAsia"/>
                <w:sz w:val="19"/>
              </w:rPr>
              <w:t>9</w:t>
            </w:r>
          </w:p>
        </w:tc>
        <w:tc>
          <w:tcPr>
            <w:tcW w:w="1344" w:type="pct"/>
            <w:shd w:val="clear" w:color="auto" w:fill="auto"/>
            <w:noWrap/>
            <w:vAlign w:val="center"/>
          </w:tcPr>
          <w:p>
            <w:pPr>
              <w:spacing w:line="240" w:lineRule="auto"/>
              <w:jc w:val="center"/>
              <w:rPr>
                <w:rFonts w:hint="eastAsia"/>
                <w:sz w:val="19"/>
              </w:rPr>
            </w:pPr>
            <w:r>
              <w:rPr>
                <w:rFonts w:hint="eastAsia"/>
                <w:sz w:val="19"/>
              </w:rPr>
              <w:t>五女山开发区南江园区健康集团</w:t>
            </w:r>
          </w:p>
          <w:p>
            <w:pPr>
              <w:spacing w:line="240" w:lineRule="auto"/>
              <w:jc w:val="center"/>
              <w:rPr>
                <w:rFonts w:hint="eastAsia"/>
                <w:sz w:val="19"/>
              </w:rPr>
            </w:pPr>
          </w:p>
        </w:tc>
        <w:tc>
          <w:tcPr>
            <w:tcW w:w="2528" w:type="pct"/>
            <w:shd w:val="clear" w:color="auto" w:fill="auto"/>
            <w:noWrap/>
            <w:vAlign w:val="center"/>
          </w:tcPr>
          <w:p>
            <w:pPr>
              <w:spacing w:line="240" w:lineRule="auto"/>
              <w:jc w:val="center"/>
              <w:rPr>
                <w:rFonts w:hint="eastAsia"/>
                <w:sz w:val="19"/>
              </w:rPr>
            </w:pPr>
            <w:r>
              <w:rPr>
                <w:rFonts w:hint="eastAsia"/>
                <w:sz w:val="19"/>
              </w:rPr>
              <w:t>五女山开发区南江园区健康集团</w:t>
            </w:r>
          </w:p>
          <w:p>
            <w:pPr>
              <w:spacing w:line="240" w:lineRule="auto"/>
              <w:jc w:val="center"/>
              <w:rPr>
                <w:rFonts w:hint="eastAsia"/>
                <w:sz w:val="19"/>
              </w:rPr>
            </w:pPr>
          </w:p>
        </w:tc>
        <w:tc>
          <w:tcPr>
            <w:tcW w:w="232" w:type="pct"/>
            <w:shd w:val="clear" w:color="auto" w:fill="auto"/>
            <w:noWrap/>
            <w:vAlign w:val="center"/>
          </w:tcPr>
          <w:p>
            <w:pPr>
              <w:spacing w:line="240" w:lineRule="auto"/>
              <w:jc w:val="center"/>
              <w:rPr>
                <w:rFonts w:hint="eastAsia"/>
                <w:sz w:val="19"/>
              </w:rPr>
            </w:pPr>
            <w:r>
              <w:rPr>
                <w:rFonts w:hint="eastAsia"/>
                <w:sz w:val="19"/>
              </w:rPr>
              <w:t>6</w:t>
            </w:r>
          </w:p>
        </w:tc>
        <w:tc>
          <w:tcPr>
            <w:tcW w:w="232" w:type="pct"/>
            <w:shd w:val="clear" w:color="auto" w:fill="auto"/>
            <w:noWrap/>
            <w:vAlign w:val="center"/>
          </w:tcPr>
          <w:p>
            <w:pPr>
              <w:spacing w:line="240" w:lineRule="auto"/>
              <w:jc w:val="center"/>
              <w:rPr>
                <w:rFonts w:hint="eastAsia"/>
                <w:sz w:val="19"/>
              </w:rPr>
            </w:pPr>
            <w:r>
              <w:rPr>
                <w:rFonts w:hint="eastAsia"/>
                <w:sz w:val="19"/>
              </w:rPr>
              <w:t>0</w:t>
            </w:r>
          </w:p>
        </w:tc>
        <w:tc>
          <w:tcPr>
            <w:tcW w:w="430" w:type="pct"/>
            <w:shd w:val="clear" w:color="auto" w:fill="auto"/>
            <w:noWrap/>
            <w:vAlign w:val="center"/>
          </w:tcPr>
          <w:p>
            <w:pPr>
              <w:spacing w:line="240" w:lineRule="auto"/>
              <w:jc w:val="center"/>
              <w:rPr>
                <w:rFonts w:hint="eastAsia"/>
                <w:sz w:val="19"/>
              </w:rPr>
            </w:pPr>
            <w:r>
              <w:rPr>
                <w:rFonts w:hint="eastAsia"/>
                <w:sz w:val="19"/>
              </w:rPr>
              <w:t>2026</w:t>
            </w:r>
          </w:p>
        </w:tc>
      </w:tr>
    </w:tbl>
    <w:p>
      <w:pPr>
        <w:pStyle w:val="6"/>
        <w:numPr>
          <w:ilvl w:val="4"/>
          <w:numId w:val="14"/>
        </w:numPr>
        <w:rPr>
          <w:rFonts w:hint="eastAsia"/>
        </w:rPr>
      </w:pPr>
      <w:r>
        <w:rPr>
          <w:rFonts w:hint="eastAsia" w:cs="仿宋_GB2312"/>
          <w:szCs w:val="28"/>
        </w:rPr>
        <w:t>桓仁满族自治县雅河朝鲜族乡望天洞景区停车场充电设施规划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6</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建设必要性：为了满足桓仁满族自治县望天洞景区的电动汽车充电需求。</w:t>
      </w:r>
    </w:p>
    <w:p>
      <w:pPr>
        <w:spacing w:line="360" w:lineRule="auto"/>
        <w:ind w:firstLine="560" w:firstLineChars="200"/>
        <w:rPr>
          <w:rFonts w:hint="eastAsia" w:cs="仿宋_GB2312"/>
          <w:szCs w:val="28"/>
        </w:rPr>
      </w:pPr>
      <w:r>
        <w:rPr>
          <w:rFonts w:hint="eastAsia" w:cs="仿宋_GB2312"/>
          <w:szCs w:val="28"/>
        </w:rPr>
        <w:t>建设规模：新建1</w:t>
      </w:r>
      <w:r>
        <w:rPr>
          <w:rFonts w:cs="仿宋_GB2312"/>
          <w:szCs w:val="28"/>
        </w:rPr>
        <w:t>5</w:t>
      </w:r>
      <w:r>
        <w:rPr>
          <w:rFonts w:hint="eastAsia" w:cs="仿宋_GB2312"/>
          <w:szCs w:val="28"/>
        </w:rPr>
        <w:t>台快充</w:t>
      </w:r>
      <w:r>
        <w:rPr>
          <w:rFonts w:cs="仿宋_GB2312"/>
          <w:szCs w:val="28"/>
        </w:rPr>
        <w:t>60</w:t>
      </w:r>
      <w:r>
        <w:rPr>
          <w:rFonts w:hint="eastAsia" w:cs="仿宋_GB2312"/>
          <w:szCs w:val="28"/>
        </w:rPr>
        <w:t>kW充电桩。</w:t>
      </w:r>
    </w:p>
    <w:p>
      <w:pPr>
        <w:pStyle w:val="217"/>
        <w:spacing w:line="240" w:lineRule="auto"/>
        <w:ind w:firstLine="561"/>
        <w:rPr>
          <w:rFonts w:ascii="黑体" w:hAnsi="黑体" w:eastAsia="黑体"/>
          <w:b/>
          <w:sz w:val="20"/>
        </w:rPr>
      </w:pPr>
      <w:r>
        <w:rPr>
          <w:rFonts w:ascii="黑体" w:hAnsi="黑体" w:eastAsia="黑体"/>
          <w:b/>
          <w:sz w:val="20"/>
        </w:rPr>
        <w:drawing>
          <wp:inline distT="0" distB="0" distL="0" distR="0">
            <wp:extent cx="3429000" cy="2308860"/>
            <wp:effectExtent l="0" t="0" r="0" b="0"/>
            <wp:docPr id="5043130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313092" name="图片 1"/>
                    <pic:cNvPicPr>
                      <a:picLocks noChangeAspect="1"/>
                    </pic:cNvPicPr>
                  </pic:nvPicPr>
                  <pic:blipFill>
                    <a:blip r:embed="rId34"/>
                    <a:stretch>
                      <a:fillRect/>
                    </a:stretch>
                  </pic:blipFill>
                  <pic:spPr>
                    <a:xfrm>
                      <a:off x="0" y="0"/>
                      <a:ext cx="3429297" cy="2309060"/>
                    </a:xfrm>
                    <a:prstGeom prst="rect">
                      <a:avLst/>
                    </a:prstGeom>
                  </pic:spPr>
                </pic:pic>
              </a:graphicData>
            </a:graphic>
          </wp:inline>
        </w:drawing>
      </w:r>
    </w:p>
    <w:p>
      <w:pPr>
        <w:pStyle w:val="8"/>
      </w:pPr>
      <w:r>
        <w:rPr>
          <w:rFonts w:hint="eastAsia"/>
        </w:rPr>
        <w:t>桓仁满族自治县雅河朝鲜族乡望天洞景区停车场卫星地理图</w:t>
      </w:r>
    </w:p>
    <w:p>
      <w:pPr>
        <w:pStyle w:val="6"/>
        <w:ind w:firstLine="560"/>
        <w:rPr>
          <w:rFonts w:hint="eastAsia"/>
        </w:rPr>
      </w:pPr>
      <w:r>
        <w:rPr>
          <w:rFonts w:hint="eastAsia" w:cs="仿宋_GB2312"/>
          <w:szCs w:val="28"/>
        </w:rPr>
        <w:t>桓仁满族自治县华来镇顺达加油站充电设施规划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6</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建设必要性：为了满足桓仁满族自治县集本线、傅桓线以及周边居民的电动汽车充电需求。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3</w:t>
      </w:r>
      <w:r>
        <w:rPr>
          <w:rFonts w:hint="eastAsia" w:cs="仿宋_GB2312"/>
          <w:szCs w:val="28"/>
        </w:rPr>
        <w:t>台快充</w:t>
      </w:r>
      <w:r>
        <w:rPr>
          <w:rFonts w:cs="仿宋_GB2312"/>
          <w:szCs w:val="28"/>
        </w:rPr>
        <w:t>60</w:t>
      </w:r>
      <w:r>
        <w:rPr>
          <w:rFonts w:hint="eastAsia" w:cs="仿宋_GB2312"/>
          <w:szCs w:val="28"/>
        </w:rPr>
        <w:t>kW充电桩。</w:t>
      </w:r>
    </w:p>
    <w:p>
      <w:pPr>
        <w:pStyle w:val="217"/>
        <w:spacing w:line="240" w:lineRule="auto"/>
        <w:ind w:firstLine="561"/>
        <w:rPr>
          <w:rFonts w:ascii="黑体" w:hAnsi="黑体" w:eastAsia="黑体"/>
          <w:b/>
          <w:sz w:val="20"/>
        </w:rPr>
      </w:pPr>
      <w:r>
        <w:rPr>
          <w:rFonts w:ascii="黑体" w:hAnsi="黑体" w:eastAsia="黑体"/>
          <w:b/>
          <w:sz w:val="20"/>
        </w:rPr>
        <w:drawing>
          <wp:inline distT="0" distB="0" distL="0" distR="0">
            <wp:extent cx="3429000" cy="2301240"/>
            <wp:effectExtent l="0" t="0" r="0" b="3810"/>
            <wp:docPr id="7471132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113274" name="图片 1"/>
                    <pic:cNvPicPr>
                      <a:picLocks noChangeAspect="1"/>
                    </pic:cNvPicPr>
                  </pic:nvPicPr>
                  <pic:blipFill>
                    <a:blip r:embed="rId35"/>
                    <a:stretch>
                      <a:fillRect/>
                    </a:stretch>
                  </pic:blipFill>
                  <pic:spPr>
                    <a:xfrm>
                      <a:off x="0" y="0"/>
                      <a:ext cx="3429297" cy="2301439"/>
                    </a:xfrm>
                    <a:prstGeom prst="rect">
                      <a:avLst/>
                    </a:prstGeom>
                  </pic:spPr>
                </pic:pic>
              </a:graphicData>
            </a:graphic>
          </wp:inline>
        </w:drawing>
      </w:r>
    </w:p>
    <w:p>
      <w:pPr>
        <w:pStyle w:val="8"/>
      </w:pPr>
      <w:r>
        <w:rPr>
          <w:rFonts w:hint="eastAsia" w:cs="仿宋_GB2312"/>
          <w:szCs w:val="28"/>
        </w:rPr>
        <w:t>桓仁满族自治县</w:t>
      </w:r>
      <w:r>
        <w:rPr>
          <w:rFonts w:hint="eastAsia"/>
        </w:rPr>
        <w:t>华来镇顺达加油站卫星地理图</w:t>
      </w:r>
    </w:p>
    <w:p>
      <w:pPr>
        <w:pStyle w:val="6"/>
        <w:rPr>
          <w:rFonts w:hint="eastAsia"/>
        </w:rPr>
      </w:pPr>
      <w:r>
        <w:rPr>
          <w:rFonts w:hint="eastAsia"/>
        </w:rPr>
        <w:t>桓仁满族自治县北甸子乡大牛沟村停车场充电设施规划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6</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建设必要性：为了满足桓仁满族自治县柞本线以及周边居民的电动汽车充电需求。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3</w:t>
      </w:r>
      <w:r>
        <w:rPr>
          <w:rFonts w:hint="eastAsia" w:cs="仿宋_GB2312"/>
          <w:szCs w:val="28"/>
        </w:rPr>
        <w:t>台快充</w:t>
      </w:r>
      <w:r>
        <w:rPr>
          <w:rFonts w:cs="仿宋_GB2312"/>
          <w:szCs w:val="28"/>
        </w:rPr>
        <w:t>60</w:t>
      </w:r>
      <w:r>
        <w:rPr>
          <w:rFonts w:hint="eastAsia" w:cs="仿宋_GB2312"/>
          <w:szCs w:val="28"/>
        </w:rPr>
        <w:t>kW充电桩。</w:t>
      </w:r>
    </w:p>
    <w:p>
      <w:pPr>
        <w:pStyle w:val="217"/>
        <w:spacing w:line="240" w:lineRule="auto"/>
        <w:ind w:firstLine="561"/>
        <w:rPr>
          <w:rFonts w:ascii="黑体" w:hAnsi="黑体" w:eastAsia="黑体"/>
          <w:b/>
          <w:sz w:val="20"/>
        </w:rPr>
      </w:pPr>
      <w:r>
        <w:rPr>
          <w:rFonts w:ascii="黑体" w:hAnsi="黑体" w:eastAsia="黑体"/>
          <w:b/>
          <w:sz w:val="20"/>
        </w:rPr>
        <w:drawing>
          <wp:inline distT="0" distB="0" distL="0" distR="0">
            <wp:extent cx="3444240" cy="2331720"/>
            <wp:effectExtent l="0" t="0" r="3810" b="0"/>
            <wp:docPr id="11039312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931263" name="图片 1"/>
                    <pic:cNvPicPr>
                      <a:picLocks noChangeAspect="1"/>
                    </pic:cNvPicPr>
                  </pic:nvPicPr>
                  <pic:blipFill>
                    <a:blip r:embed="rId36"/>
                    <a:stretch>
                      <a:fillRect/>
                    </a:stretch>
                  </pic:blipFill>
                  <pic:spPr>
                    <a:xfrm>
                      <a:off x="0" y="0"/>
                      <a:ext cx="3444538" cy="2331922"/>
                    </a:xfrm>
                    <a:prstGeom prst="rect">
                      <a:avLst/>
                    </a:prstGeom>
                  </pic:spPr>
                </pic:pic>
              </a:graphicData>
            </a:graphic>
          </wp:inline>
        </w:drawing>
      </w:r>
    </w:p>
    <w:p>
      <w:pPr>
        <w:pStyle w:val="8"/>
      </w:pPr>
      <w:r>
        <w:rPr>
          <w:rFonts w:hint="eastAsia"/>
        </w:rPr>
        <w:t>桓仁满族自治县北甸子乡大牛沟村停车场卫星地理图</w:t>
      </w:r>
    </w:p>
    <w:p>
      <w:pPr>
        <w:pStyle w:val="6"/>
        <w:rPr>
          <w:rFonts w:hint="eastAsia"/>
        </w:rPr>
      </w:pPr>
      <w:r>
        <w:rPr>
          <w:rFonts w:hint="eastAsia"/>
        </w:rPr>
        <w:t>桓仁满族自治县普乐堡村村部停车场充电设施规划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6</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建设必要性：为了满足桓仁满族自治县201国道以及周边居民的电动汽车充电需求。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3</w:t>
      </w:r>
      <w:r>
        <w:rPr>
          <w:rFonts w:hint="eastAsia" w:cs="仿宋_GB2312"/>
          <w:szCs w:val="28"/>
        </w:rPr>
        <w:t>台快充</w:t>
      </w:r>
      <w:r>
        <w:rPr>
          <w:rFonts w:cs="仿宋_GB2312"/>
          <w:szCs w:val="28"/>
        </w:rPr>
        <w:t>60</w:t>
      </w:r>
      <w:r>
        <w:rPr>
          <w:rFonts w:hint="eastAsia" w:cs="仿宋_GB2312"/>
          <w:szCs w:val="28"/>
        </w:rPr>
        <w:t>kW充电桩。</w:t>
      </w:r>
    </w:p>
    <w:p>
      <w:pPr>
        <w:pStyle w:val="217"/>
        <w:spacing w:line="240" w:lineRule="auto"/>
        <w:rPr>
          <w:rFonts w:ascii="黑体" w:hAnsi="黑体" w:eastAsia="黑体"/>
          <w:b/>
          <w:sz w:val="20"/>
        </w:rPr>
      </w:pPr>
      <w:r>
        <w:drawing>
          <wp:inline distT="0" distB="0" distL="0" distR="0">
            <wp:extent cx="5274310" cy="3470910"/>
            <wp:effectExtent l="0" t="0" r="2540" b="0"/>
            <wp:docPr id="15059139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913919" name="图片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274310" cy="3470910"/>
                    </a:xfrm>
                    <a:prstGeom prst="rect">
                      <a:avLst/>
                    </a:prstGeom>
                    <a:noFill/>
                    <a:ln>
                      <a:noFill/>
                    </a:ln>
                  </pic:spPr>
                </pic:pic>
              </a:graphicData>
            </a:graphic>
          </wp:inline>
        </w:drawing>
      </w:r>
    </w:p>
    <w:p>
      <w:pPr>
        <w:pStyle w:val="8"/>
      </w:pPr>
      <w:r>
        <w:rPr>
          <w:rFonts w:hint="eastAsia"/>
        </w:rPr>
        <w:t>桓仁满族自治县普乐堡村村部停车场卫星地理图</w:t>
      </w:r>
    </w:p>
    <w:p>
      <w:pPr>
        <w:pStyle w:val="6"/>
        <w:rPr>
          <w:rFonts w:hint="eastAsia"/>
        </w:rPr>
      </w:pPr>
      <w:r>
        <w:rPr>
          <w:rFonts w:hint="eastAsia"/>
        </w:rPr>
        <w:t>桓仁满族自治县龙泉村村部停车场充电设施规划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6</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建设必要性：为了满足桓仁满族自治县普乐堡镇G201(鹤大线)以及周边居民的电动汽车充电需求。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3</w:t>
      </w:r>
      <w:r>
        <w:rPr>
          <w:rFonts w:hint="eastAsia" w:cs="仿宋_GB2312"/>
          <w:szCs w:val="28"/>
        </w:rPr>
        <w:t>台快充</w:t>
      </w:r>
      <w:r>
        <w:rPr>
          <w:rFonts w:cs="仿宋_GB2312"/>
          <w:szCs w:val="28"/>
        </w:rPr>
        <w:t>60</w:t>
      </w:r>
      <w:r>
        <w:rPr>
          <w:rFonts w:hint="eastAsia" w:cs="仿宋_GB2312"/>
          <w:szCs w:val="28"/>
        </w:rPr>
        <w:t>kW充电桩。</w:t>
      </w:r>
    </w:p>
    <w:p>
      <w:pPr>
        <w:pStyle w:val="217"/>
        <w:spacing w:line="240" w:lineRule="auto"/>
        <w:rPr>
          <w:rFonts w:ascii="黑体" w:hAnsi="黑体" w:eastAsia="黑体"/>
          <w:b/>
          <w:sz w:val="20"/>
        </w:rPr>
      </w:pPr>
      <w:r>
        <w:drawing>
          <wp:inline distT="0" distB="0" distL="0" distR="0">
            <wp:extent cx="5274310" cy="4178935"/>
            <wp:effectExtent l="0" t="0" r="2540" b="0"/>
            <wp:docPr id="35425499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254994" name="图片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274310" cy="4178935"/>
                    </a:xfrm>
                    <a:prstGeom prst="rect">
                      <a:avLst/>
                    </a:prstGeom>
                    <a:noFill/>
                    <a:ln>
                      <a:noFill/>
                    </a:ln>
                  </pic:spPr>
                </pic:pic>
              </a:graphicData>
            </a:graphic>
          </wp:inline>
        </w:drawing>
      </w:r>
    </w:p>
    <w:p>
      <w:pPr>
        <w:pStyle w:val="8"/>
      </w:pPr>
      <w:r>
        <w:rPr>
          <w:rFonts w:hint="eastAsia"/>
        </w:rPr>
        <w:t>桓仁满族自治县龙泉村村部停车场卫星地理图</w:t>
      </w:r>
    </w:p>
    <w:p>
      <w:pPr>
        <w:pStyle w:val="6"/>
        <w:rPr>
          <w:rFonts w:hint="eastAsia"/>
        </w:rPr>
      </w:pPr>
      <w:r>
        <w:rPr>
          <w:rFonts w:hint="eastAsia"/>
        </w:rPr>
        <w:t>桓仁满族自治县六道沟村村委会停车场充电设施规划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6</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建设必要性：为了满足桓仁满族自治县黑沟乡以及周边居民的电动汽车充电需求。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3</w:t>
      </w:r>
      <w:r>
        <w:rPr>
          <w:rFonts w:hint="eastAsia" w:cs="仿宋_GB2312"/>
          <w:szCs w:val="28"/>
        </w:rPr>
        <w:t>台快充</w:t>
      </w:r>
      <w:r>
        <w:rPr>
          <w:rFonts w:cs="仿宋_GB2312"/>
          <w:szCs w:val="28"/>
        </w:rPr>
        <w:t>60</w:t>
      </w:r>
      <w:r>
        <w:rPr>
          <w:rFonts w:hint="eastAsia" w:cs="仿宋_GB2312"/>
          <w:szCs w:val="28"/>
        </w:rPr>
        <w:t>kW充电桩。</w:t>
      </w:r>
    </w:p>
    <w:p>
      <w:pPr>
        <w:pStyle w:val="217"/>
        <w:spacing w:line="240" w:lineRule="auto"/>
        <w:rPr>
          <w:rFonts w:ascii="黑体" w:hAnsi="黑体" w:eastAsia="黑体"/>
          <w:b/>
          <w:sz w:val="20"/>
        </w:rPr>
      </w:pPr>
      <w:r>
        <w:drawing>
          <wp:inline distT="0" distB="0" distL="0" distR="0">
            <wp:extent cx="5274310" cy="4058285"/>
            <wp:effectExtent l="0" t="0" r="2540" b="0"/>
            <wp:docPr id="139971907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719073" name="图片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274310" cy="4058285"/>
                    </a:xfrm>
                    <a:prstGeom prst="rect">
                      <a:avLst/>
                    </a:prstGeom>
                    <a:noFill/>
                    <a:ln>
                      <a:noFill/>
                    </a:ln>
                  </pic:spPr>
                </pic:pic>
              </a:graphicData>
            </a:graphic>
          </wp:inline>
        </w:drawing>
      </w:r>
    </w:p>
    <w:p>
      <w:pPr>
        <w:pStyle w:val="8"/>
      </w:pPr>
      <w:r>
        <w:rPr>
          <w:rFonts w:hint="eastAsia"/>
        </w:rPr>
        <w:t>桓仁满族自治县六道沟村村委会停车场卫星地理图</w:t>
      </w:r>
    </w:p>
    <w:p>
      <w:pPr>
        <w:pStyle w:val="6"/>
        <w:rPr>
          <w:rFonts w:hint="eastAsia"/>
        </w:rPr>
      </w:pPr>
      <w:r>
        <w:rPr>
          <w:rFonts w:hint="eastAsia"/>
        </w:rPr>
        <w:t>桓仁满族自治县五道河子村委会停车场充电设施规划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6</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建设必要性：为了满足桓仁满族自治县</w:t>
      </w:r>
      <w:r>
        <w:rPr>
          <w:rFonts w:hint="eastAsia"/>
        </w:rPr>
        <w:t>五道河子村</w:t>
      </w:r>
      <w:r>
        <w:rPr>
          <w:rFonts w:hint="eastAsia" w:cs="仿宋_GB2312"/>
          <w:szCs w:val="28"/>
        </w:rPr>
        <w:t>周边居民的电动汽车充电需求。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3</w:t>
      </w:r>
      <w:r>
        <w:rPr>
          <w:rFonts w:hint="eastAsia" w:cs="仿宋_GB2312"/>
          <w:szCs w:val="28"/>
        </w:rPr>
        <w:t>台快充</w:t>
      </w:r>
      <w:r>
        <w:rPr>
          <w:rFonts w:cs="仿宋_GB2312"/>
          <w:szCs w:val="28"/>
        </w:rPr>
        <w:t>60</w:t>
      </w:r>
      <w:r>
        <w:rPr>
          <w:rFonts w:hint="eastAsia" w:cs="仿宋_GB2312"/>
          <w:szCs w:val="28"/>
        </w:rPr>
        <w:t>kW充电桩。</w:t>
      </w:r>
    </w:p>
    <w:p>
      <w:pPr>
        <w:pStyle w:val="217"/>
        <w:spacing w:line="240" w:lineRule="auto"/>
        <w:rPr>
          <w:rFonts w:ascii="黑体" w:hAnsi="黑体" w:eastAsia="黑体"/>
          <w:b/>
          <w:sz w:val="20"/>
        </w:rPr>
      </w:pPr>
      <w:r>
        <w:drawing>
          <wp:inline distT="0" distB="0" distL="0" distR="0">
            <wp:extent cx="5274310" cy="3840480"/>
            <wp:effectExtent l="0" t="0" r="2540" b="7620"/>
            <wp:docPr id="701886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88645" name="图片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274310" cy="3840480"/>
                    </a:xfrm>
                    <a:prstGeom prst="rect">
                      <a:avLst/>
                    </a:prstGeom>
                    <a:noFill/>
                    <a:ln>
                      <a:noFill/>
                    </a:ln>
                  </pic:spPr>
                </pic:pic>
              </a:graphicData>
            </a:graphic>
          </wp:inline>
        </w:drawing>
      </w:r>
    </w:p>
    <w:p>
      <w:pPr>
        <w:pStyle w:val="8"/>
      </w:pPr>
      <w:r>
        <w:rPr>
          <w:rFonts w:hint="eastAsia"/>
        </w:rPr>
        <w:t>桓仁满族自治县五道河子村委会停车场卫星地理图</w:t>
      </w:r>
    </w:p>
    <w:p>
      <w:pPr>
        <w:pStyle w:val="6"/>
        <w:rPr>
          <w:rFonts w:hint="eastAsia"/>
        </w:rPr>
      </w:pPr>
      <w:r>
        <w:rPr>
          <w:rFonts w:hint="eastAsia"/>
        </w:rPr>
        <w:t>桓仁满族自治县马鹿泡村村民委员会停车场充电设施规划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6</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建设必要性：为了满足桓仁满族自治县</w:t>
      </w:r>
      <w:r>
        <w:rPr>
          <w:rFonts w:hint="eastAsia"/>
        </w:rPr>
        <w:t>马鹿泡村</w:t>
      </w:r>
      <w:r>
        <w:rPr>
          <w:rFonts w:hint="eastAsia" w:cs="仿宋_GB2312"/>
          <w:szCs w:val="28"/>
        </w:rPr>
        <w:t>周边居民的电动汽车充电需求。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3</w:t>
      </w:r>
      <w:r>
        <w:rPr>
          <w:rFonts w:hint="eastAsia" w:cs="仿宋_GB2312"/>
          <w:szCs w:val="28"/>
        </w:rPr>
        <w:t>台快充</w:t>
      </w:r>
      <w:r>
        <w:rPr>
          <w:rFonts w:cs="仿宋_GB2312"/>
          <w:szCs w:val="28"/>
        </w:rPr>
        <w:t>60</w:t>
      </w:r>
      <w:r>
        <w:rPr>
          <w:rFonts w:hint="eastAsia" w:cs="仿宋_GB2312"/>
          <w:szCs w:val="28"/>
        </w:rPr>
        <w:t>kW充电桩。</w:t>
      </w:r>
    </w:p>
    <w:p>
      <w:pPr>
        <w:pStyle w:val="217"/>
        <w:spacing w:line="240" w:lineRule="auto"/>
        <w:rPr>
          <w:rFonts w:ascii="黑体" w:hAnsi="黑体" w:eastAsia="黑体"/>
          <w:b/>
          <w:sz w:val="20"/>
        </w:rPr>
      </w:pPr>
      <w:r>
        <w:drawing>
          <wp:inline distT="0" distB="0" distL="0" distR="0">
            <wp:extent cx="5274310" cy="4509770"/>
            <wp:effectExtent l="0" t="0" r="2540" b="5080"/>
            <wp:docPr id="135859917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599174" name="图片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274310" cy="4509770"/>
                    </a:xfrm>
                    <a:prstGeom prst="rect">
                      <a:avLst/>
                    </a:prstGeom>
                    <a:noFill/>
                    <a:ln>
                      <a:noFill/>
                    </a:ln>
                  </pic:spPr>
                </pic:pic>
              </a:graphicData>
            </a:graphic>
          </wp:inline>
        </w:drawing>
      </w:r>
    </w:p>
    <w:p>
      <w:pPr>
        <w:pStyle w:val="8"/>
      </w:pPr>
      <w:r>
        <w:rPr>
          <w:rFonts w:hint="eastAsia"/>
        </w:rPr>
        <w:t>桓仁满族自治县马鹿泡村村民委员会停车场卫星地理图</w:t>
      </w:r>
    </w:p>
    <w:p>
      <w:pPr>
        <w:pStyle w:val="6"/>
        <w:rPr>
          <w:rFonts w:hint="eastAsia"/>
        </w:rPr>
      </w:pPr>
      <w:r>
        <w:rPr>
          <w:rFonts w:hint="eastAsia"/>
        </w:rPr>
        <w:t>桓仁满族自治县五女山开发区南江园区健康集团停车场充电设施规划</w:t>
      </w:r>
    </w:p>
    <w:p>
      <w:pPr>
        <w:spacing w:line="360" w:lineRule="auto"/>
        <w:ind w:firstLine="560" w:firstLineChars="200"/>
        <w:rPr>
          <w:rFonts w:hint="eastAsia" w:cs="仿宋_GB2312"/>
          <w:szCs w:val="28"/>
        </w:rPr>
      </w:pPr>
      <w:r>
        <w:rPr>
          <w:rFonts w:hint="eastAsia" w:cs="仿宋_GB2312"/>
          <w:szCs w:val="28"/>
        </w:rPr>
        <w:t>实施年份：2026年</w:t>
      </w:r>
    </w:p>
    <w:p>
      <w:pPr>
        <w:spacing w:line="360" w:lineRule="auto"/>
        <w:ind w:firstLine="560" w:firstLineChars="200"/>
        <w:rPr>
          <w:rFonts w:hint="eastAsia" w:cs="仿宋_GB2312"/>
          <w:color w:val="FF0000"/>
          <w:szCs w:val="28"/>
        </w:rPr>
      </w:pPr>
      <w:r>
        <w:rPr>
          <w:rFonts w:hint="eastAsia" w:cs="仿宋_GB2312"/>
          <w:szCs w:val="28"/>
        </w:rPr>
        <w:t>建设必要性：为了满足桓仁满族自治县201国道、县城通往望天洞、大雅河等景区游客以及周边居民的电动汽车充电需求。</w:t>
      </w:r>
    </w:p>
    <w:p>
      <w:pPr>
        <w:spacing w:line="360" w:lineRule="auto"/>
        <w:ind w:firstLine="560" w:firstLineChars="200"/>
        <w:rPr>
          <w:rFonts w:hint="eastAsia" w:cs="仿宋_GB2312"/>
          <w:szCs w:val="28"/>
        </w:rPr>
      </w:pPr>
      <w:r>
        <w:rPr>
          <w:rFonts w:hint="eastAsia" w:cs="仿宋_GB2312"/>
          <w:szCs w:val="28"/>
        </w:rPr>
        <w:t>建设规模：新建6台快充</w:t>
      </w:r>
      <w:r>
        <w:rPr>
          <w:rFonts w:cs="仿宋_GB2312"/>
          <w:szCs w:val="28"/>
        </w:rPr>
        <w:t>60</w:t>
      </w:r>
      <w:r>
        <w:rPr>
          <w:rFonts w:hint="eastAsia" w:cs="仿宋_GB2312"/>
          <w:szCs w:val="28"/>
        </w:rPr>
        <w:t>kW充电桩。</w:t>
      </w:r>
    </w:p>
    <w:p>
      <w:pPr>
        <w:pStyle w:val="217"/>
        <w:spacing w:line="240" w:lineRule="auto"/>
        <w:rPr>
          <w:rFonts w:ascii="黑体" w:hAnsi="黑体" w:eastAsia="黑体"/>
          <w:b/>
          <w:sz w:val="20"/>
        </w:rPr>
      </w:pPr>
      <w:r>
        <w:drawing>
          <wp:inline distT="0" distB="0" distL="0" distR="0">
            <wp:extent cx="5274310" cy="3114675"/>
            <wp:effectExtent l="0" t="0" r="2540" b="9525"/>
            <wp:docPr id="14502373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237318" name="图片 1"/>
                    <pic:cNvPicPr>
                      <a:picLocks noChangeAspect="1"/>
                    </pic:cNvPicPr>
                  </pic:nvPicPr>
                  <pic:blipFill>
                    <a:blip r:embed="rId42"/>
                    <a:stretch>
                      <a:fillRect/>
                    </a:stretch>
                  </pic:blipFill>
                  <pic:spPr>
                    <a:xfrm>
                      <a:off x="0" y="0"/>
                      <a:ext cx="5274310" cy="3114675"/>
                    </a:xfrm>
                    <a:prstGeom prst="rect">
                      <a:avLst/>
                    </a:prstGeom>
                  </pic:spPr>
                </pic:pic>
              </a:graphicData>
            </a:graphic>
          </wp:inline>
        </w:drawing>
      </w:r>
    </w:p>
    <w:p>
      <w:pPr>
        <w:pStyle w:val="8"/>
      </w:pPr>
      <w:r>
        <w:rPr>
          <w:rFonts w:hint="eastAsia"/>
        </w:rPr>
        <w:t>桓仁满族自治县五女山开发区南江园区健康集团停车场卫星地理图</w:t>
      </w:r>
    </w:p>
    <w:p>
      <w:pPr>
        <w:rPr>
          <w:rFonts w:hint="eastAsia"/>
        </w:rPr>
      </w:pPr>
    </w:p>
    <w:p>
      <w:pPr>
        <w:pStyle w:val="5"/>
      </w:pPr>
      <w:r>
        <w:rPr>
          <w:bCs/>
          <w:sz w:val="32"/>
          <w:szCs w:val="32"/>
        </w:rPr>
        <w:t>2027</w:t>
      </w:r>
      <w:r>
        <w:rPr>
          <w:rFonts w:hint="eastAsia"/>
          <w:bCs/>
          <w:sz w:val="32"/>
          <w:szCs w:val="32"/>
        </w:rPr>
        <w:t>年公共充电设施规划</w:t>
      </w:r>
    </w:p>
    <w:p>
      <w:pPr>
        <w:spacing w:line="360" w:lineRule="auto"/>
        <w:ind w:firstLine="560" w:firstLineChars="200"/>
        <w:jc w:val="left"/>
        <w:rPr>
          <w:rFonts w:hint="eastAsia"/>
        </w:rPr>
      </w:pPr>
      <w:r>
        <w:rPr>
          <w:rFonts w:hint="eastAsia" w:cs="仿宋_GB2312"/>
          <w:szCs w:val="22"/>
        </w:rPr>
        <w:t>2</w:t>
      </w:r>
      <w:r>
        <w:rPr>
          <w:rFonts w:cs="仿宋_GB2312"/>
          <w:szCs w:val="22"/>
        </w:rPr>
        <w:t>027</w:t>
      </w:r>
      <w:r>
        <w:rPr>
          <w:rFonts w:hint="eastAsia" w:cs="仿宋_GB2312"/>
          <w:szCs w:val="22"/>
        </w:rPr>
        <w:t>年桓仁满族自治县</w:t>
      </w:r>
      <w:r>
        <w:rPr>
          <w:rFonts w:cs="仿宋_GB2312"/>
          <w:szCs w:val="22"/>
        </w:rPr>
        <w:t>规划新建公共充电站4座，新增公共充电桩30个</w:t>
      </w:r>
      <w:r>
        <w:rPr>
          <w:rFonts w:hint="eastAsia"/>
        </w:rPr>
        <w:t>（充电枪30个）</w:t>
      </w:r>
      <w:r>
        <w:rPr>
          <w:rFonts w:cs="仿宋_GB2312"/>
          <w:szCs w:val="22"/>
        </w:rPr>
        <w:t>，</w:t>
      </w:r>
      <w:r>
        <w:rPr>
          <w:rFonts w:hint="eastAsia" w:cs="仿宋_GB2312"/>
          <w:szCs w:val="22"/>
        </w:rPr>
        <w:t>全部为</w:t>
      </w:r>
      <w:r>
        <w:rPr>
          <w:rFonts w:cs="仿宋_GB2312"/>
          <w:szCs w:val="22"/>
        </w:rPr>
        <w:t>快充充电桩。</w:t>
      </w:r>
      <w:r>
        <w:rPr>
          <w:rFonts w:hint="eastAsia" w:cs="仿宋_GB2312"/>
          <w:szCs w:val="22"/>
        </w:rPr>
        <w:t>桓仁满族自治县2</w:t>
      </w:r>
      <w:r>
        <w:rPr>
          <w:rFonts w:cs="仿宋_GB2312"/>
          <w:szCs w:val="22"/>
        </w:rPr>
        <w:t>027</w:t>
      </w:r>
      <w:r>
        <w:rPr>
          <w:rFonts w:hint="eastAsia" w:cs="仿宋_GB2312"/>
          <w:szCs w:val="22"/>
        </w:rPr>
        <w:t>年</w:t>
      </w:r>
      <w:r>
        <w:rPr>
          <w:rFonts w:cs="仿宋_GB2312"/>
          <w:szCs w:val="22"/>
        </w:rPr>
        <w:t>规划公共充电设施站点如下所示。</w:t>
      </w:r>
      <w:r>
        <w:drawing>
          <wp:inline distT="0" distB="0" distL="0" distR="0">
            <wp:extent cx="5274310" cy="3729355"/>
            <wp:effectExtent l="0" t="0" r="2540" b="4445"/>
            <wp:docPr id="8851515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151522" name="图片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5274310" cy="3729355"/>
                    </a:xfrm>
                    <a:prstGeom prst="rect">
                      <a:avLst/>
                    </a:prstGeom>
                    <a:noFill/>
                    <a:ln>
                      <a:noFill/>
                    </a:ln>
                  </pic:spPr>
                </pic:pic>
              </a:graphicData>
            </a:graphic>
          </wp:inline>
        </w:drawing>
      </w:r>
      <w:r>
        <w:t xml:space="preserve"> </w:t>
      </w:r>
    </w:p>
    <w:p>
      <w:pPr>
        <w:pStyle w:val="8"/>
      </w:pPr>
      <w:r>
        <w:rPr>
          <w:rFonts w:hint="eastAsia"/>
        </w:rPr>
        <w:t>桓仁满族自治县2</w:t>
      </w:r>
      <w:r>
        <w:t>027</w:t>
      </w:r>
      <w:r>
        <w:rPr>
          <w:rFonts w:hint="eastAsia"/>
        </w:rPr>
        <w:t>年</w:t>
      </w:r>
      <w:r>
        <w:t>公共充电设施</w:t>
      </w:r>
      <w:r>
        <w:rPr>
          <w:rFonts w:hint="eastAsia"/>
        </w:rPr>
        <w:t>点位</w:t>
      </w:r>
      <w:r>
        <w:t>布局</w:t>
      </w:r>
    </w:p>
    <w:p>
      <w:pPr>
        <w:pStyle w:val="7"/>
      </w:pPr>
      <w:r>
        <w:rPr>
          <w:rFonts w:hint="eastAsia"/>
        </w:rPr>
        <w:t>桓仁满族自治县2</w:t>
      </w:r>
      <w:r>
        <w:t>027</w:t>
      </w:r>
      <w:r>
        <w:rPr>
          <w:rFonts w:hint="eastAsia"/>
        </w:rPr>
        <w:t>年</w:t>
      </w:r>
      <w:r>
        <w:t>公共充电设施规划项目表</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28" w:type="dxa"/>
          <w:left w:w="28" w:type="dxa"/>
          <w:bottom w:w="28" w:type="dxa"/>
          <w:right w:w="28" w:type="dxa"/>
        </w:tblCellMar>
      </w:tblPr>
      <w:tblGrid>
        <w:gridCol w:w="407"/>
        <w:gridCol w:w="2150"/>
        <w:gridCol w:w="3728"/>
        <w:gridCol w:w="714"/>
        <w:gridCol w:w="608"/>
        <w:gridCol w:w="75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244" w:type="pct"/>
            <w:vMerge w:val="restart"/>
            <w:shd w:val="clear" w:color="auto" w:fill="D9D9D9"/>
            <w:noWrap/>
            <w:vAlign w:val="center"/>
          </w:tcPr>
          <w:p>
            <w:pPr>
              <w:spacing w:line="240" w:lineRule="auto"/>
              <w:jc w:val="center"/>
              <w:rPr>
                <w:rFonts w:hint="eastAsia"/>
                <w:b/>
                <w:sz w:val="19"/>
              </w:rPr>
            </w:pPr>
            <w:r>
              <w:rPr>
                <w:rFonts w:hint="eastAsia"/>
                <w:b/>
                <w:sz w:val="19"/>
              </w:rPr>
              <w:t>序号</w:t>
            </w:r>
          </w:p>
        </w:tc>
        <w:tc>
          <w:tcPr>
            <w:tcW w:w="1285" w:type="pct"/>
            <w:vMerge w:val="restart"/>
            <w:shd w:val="clear" w:color="auto" w:fill="D9D9D9"/>
            <w:noWrap/>
            <w:vAlign w:val="center"/>
          </w:tcPr>
          <w:p>
            <w:pPr>
              <w:spacing w:line="240" w:lineRule="auto"/>
              <w:jc w:val="center"/>
              <w:rPr>
                <w:rFonts w:hint="eastAsia"/>
                <w:b/>
                <w:sz w:val="19"/>
              </w:rPr>
            </w:pPr>
            <w:r>
              <w:rPr>
                <w:rFonts w:hint="eastAsia"/>
                <w:b/>
                <w:sz w:val="19"/>
              </w:rPr>
              <w:t>停车场名称</w:t>
            </w:r>
          </w:p>
        </w:tc>
        <w:tc>
          <w:tcPr>
            <w:tcW w:w="2229" w:type="pct"/>
            <w:vMerge w:val="restart"/>
            <w:shd w:val="clear" w:color="auto" w:fill="D9D9D9"/>
            <w:noWrap/>
            <w:vAlign w:val="center"/>
          </w:tcPr>
          <w:p>
            <w:pPr>
              <w:spacing w:line="240" w:lineRule="auto"/>
              <w:jc w:val="center"/>
              <w:rPr>
                <w:rFonts w:hint="eastAsia"/>
                <w:b/>
                <w:sz w:val="19"/>
              </w:rPr>
            </w:pPr>
            <w:r>
              <w:rPr>
                <w:rFonts w:hint="eastAsia"/>
                <w:b/>
                <w:sz w:val="19"/>
              </w:rPr>
              <w:t>具体位置</w:t>
            </w:r>
          </w:p>
        </w:tc>
        <w:tc>
          <w:tcPr>
            <w:tcW w:w="790" w:type="pct"/>
            <w:gridSpan w:val="2"/>
            <w:shd w:val="clear" w:color="auto" w:fill="D9D9D9"/>
            <w:vAlign w:val="center"/>
          </w:tcPr>
          <w:p>
            <w:pPr>
              <w:spacing w:line="240" w:lineRule="auto"/>
              <w:jc w:val="center"/>
              <w:rPr>
                <w:rFonts w:hint="eastAsia"/>
                <w:b/>
                <w:sz w:val="19"/>
              </w:rPr>
            </w:pPr>
            <w:r>
              <w:rPr>
                <w:rFonts w:hint="eastAsia"/>
                <w:b/>
                <w:sz w:val="19"/>
              </w:rPr>
              <w:t>设置充电桩设施数量（台）</w:t>
            </w:r>
          </w:p>
        </w:tc>
        <w:tc>
          <w:tcPr>
            <w:tcW w:w="452" w:type="pct"/>
            <w:vMerge w:val="restart"/>
            <w:shd w:val="clear" w:color="auto" w:fill="D9D9D9"/>
            <w:noWrap/>
            <w:vAlign w:val="center"/>
          </w:tcPr>
          <w:p>
            <w:pPr>
              <w:spacing w:line="240" w:lineRule="auto"/>
              <w:jc w:val="center"/>
              <w:rPr>
                <w:rFonts w:hint="eastAsia"/>
                <w:b/>
                <w:sz w:val="19"/>
              </w:rPr>
            </w:pPr>
            <w:r>
              <w:rPr>
                <w:rFonts w:hint="eastAsia"/>
                <w:b/>
                <w:sz w:val="19"/>
              </w:rPr>
              <w:t>建设年份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244" w:type="pct"/>
            <w:vMerge w:val="continue"/>
            <w:shd w:val="clear" w:color="auto" w:fill="D9D9D9"/>
            <w:vAlign w:val="center"/>
          </w:tcPr>
          <w:p>
            <w:pPr>
              <w:spacing w:line="240" w:lineRule="auto"/>
              <w:jc w:val="center"/>
              <w:rPr>
                <w:rFonts w:hint="eastAsia"/>
                <w:b/>
                <w:sz w:val="19"/>
              </w:rPr>
            </w:pPr>
          </w:p>
        </w:tc>
        <w:tc>
          <w:tcPr>
            <w:tcW w:w="1285" w:type="pct"/>
            <w:vMerge w:val="continue"/>
            <w:shd w:val="clear" w:color="auto" w:fill="D9D9D9"/>
            <w:vAlign w:val="center"/>
          </w:tcPr>
          <w:p>
            <w:pPr>
              <w:spacing w:line="240" w:lineRule="auto"/>
              <w:jc w:val="center"/>
              <w:rPr>
                <w:rFonts w:hint="eastAsia"/>
                <w:b/>
                <w:sz w:val="19"/>
              </w:rPr>
            </w:pPr>
          </w:p>
        </w:tc>
        <w:tc>
          <w:tcPr>
            <w:tcW w:w="2229" w:type="pct"/>
            <w:vMerge w:val="continue"/>
            <w:shd w:val="clear" w:color="auto" w:fill="D9D9D9"/>
            <w:vAlign w:val="center"/>
          </w:tcPr>
          <w:p>
            <w:pPr>
              <w:spacing w:line="240" w:lineRule="auto"/>
              <w:jc w:val="center"/>
              <w:rPr>
                <w:rFonts w:hint="eastAsia"/>
                <w:b/>
                <w:sz w:val="19"/>
              </w:rPr>
            </w:pPr>
          </w:p>
        </w:tc>
        <w:tc>
          <w:tcPr>
            <w:tcW w:w="427" w:type="pct"/>
            <w:shd w:val="clear" w:color="auto" w:fill="D9D9D9"/>
            <w:noWrap/>
            <w:vAlign w:val="center"/>
          </w:tcPr>
          <w:p>
            <w:pPr>
              <w:spacing w:line="240" w:lineRule="auto"/>
              <w:jc w:val="center"/>
              <w:rPr>
                <w:rFonts w:hint="eastAsia"/>
                <w:b/>
                <w:sz w:val="19"/>
              </w:rPr>
            </w:pPr>
            <w:r>
              <w:rPr>
                <w:rFonts w:hint="eastAsia"/>
                <w:b/>
                <w:sz w:val="19"/>
              </w:rPr>
              <w:t>快充</w:t>
            </w:r>
          </w:p>
        </w:tc>
        <w:tc>
          <w:tcPr>
            <w:tcW w:w="363" w:type="pct"/>
            <w:shd w:val="clear" w:color="auto" w:fill="D9D9D9"/>
            <w:noWrap/>
            <w:vAlign w:val="center"/>
          </w:tcPr>
          <w:p>
            <w:pPr>
              <w:spacing w:line="240" w:lineRule="auto"/>
              <w:jc w:val="center"/>
              <w:rPr>
                <w:rFonts w:hint="eastAsia"/>
                <w:b/>
                <w:sz w:val="19"/>
              </w:rPr>
            </w:pPr>
            <w:r>
              <w:rPr>
                <w:rFonts w:hint="eastAsia"/>
                <w:b/>
                <w:sz w:val="19"/>
              </w:rPr>
              <w:t>慢充</w:t>
            </w:r>
          </w:p>
        </w:tc>
        <w:tc>
          <w:tcPr>
            <w:tcW w:w="452" w:type="pct"/>
            <w:vMerge w:val="continue"/>
            <w:shd w:val="clear" w:color="auto" w:fill="D9D9D9"/>
            <w:vAlign w:val="center"/>
          </w:tcPr>
          <w:p>
            <w:pPr>
              <w:spacing w:line="240" w:lineRule="auto"/>
              <w:jc w:val="center"/>
              <w:rPr>
                <w:rFonts w:hint="eastAsia"/>
                <w:b/>
                <w:sz w:val="19"/>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44" w:type="pct"/>
            <w:shd w:val="clear" w:color="auto" w:fill="auto"/>
            <w:noWrap/>
            <w:vAlign w:val="center"/>
          </w:tcPr>
          <w:p>
            <w:pPr>
              <w:spacing w:line="240" w:lineRule="auto"/>
              <w:jc w:val="center"/>
              <w:rPr>
                <w:rFonts w:hint="eastAsia"/>
                <w:sz w:val="19"/>
              </w:rPr>
            </w:pPr>
            <w:r>
              <w:rPr>
                <w:rFonts w:hint="eastAsia"/>
                <w:sz w:val="19"/>
              </w:rPr>
              <w:t>1</w:t>
            </w:r>
          </w:p>
        </w:tc>
        <w:tc>
          <w:tcPr>
            <w:tcW w:w="1285" w:type="pct"/>
            <w:shd w:val="clear" w:color="auto" w:fill="auto"/>
            <w:noWrap/>
            <w:vAlign w:val="center"/>
          </w:tcPr>
          <w:p>
            <w:pPr>
              <w:spacing w:line="240" w:lineRule="auto"/>
              <w:jc w:val="center"/>
              <w:rPr>
                <w:rFonts w:hint="eastAsia"/>
                <w:sz w:val="19"/>
              </w:rPr>
            </w:pPr>
            <w:r>
              <w:rPr>
                <w:rFonts w:hint="eastAsia"/>
                <w:sz w:val="19"/>
              </w:rPr>
              <w:t>枫林谷森林公园</w:t>
            </w:r>
          </w:p>
        </w:tc>
        <w:tc>
          <w:tcPr>
            <w:tcW w:w="2229" w:type="pct"/>
            <w:shd w:val="clear" w:color="auto" w:fill="auto"/>
            <w:noWrap/>
            <w:vAlign w:val="center"/>
          </w:tcPr>
          <w:p>
            <w:pPr>
              <w:spacing w:line="240" w:lineRule="auto"/>
              <w:jc w:val="center"/>
              <w:rPr>
                <w:rFonts w:hint="eastAsia"/>
                <w:sz w:val="19"/>
              </w:rPr>
            </w:pPr>
            <w:r>
              <w:rPr>
                <w:rFonts w:hint="eastAsia"/>
                <w:sz w:val="19"/>
              </w:rPr>
              <w:t>本溪市桓仁满族自治县向阳乡G11</w:t>
            </w:r>
          </w:p>
        </w:tc>
        <w:tc>
          <w:tcPr>
            <w:tcW w:w="427" w:type="pct"/>
            <w:shd w:val="clear" w:color="auto" w:fill="auto"/>
            <w:noWrap/>
            <w:vAlign w:val="center"/>
          </w:tcPr>
          <w:p>
            <w:pPr>
              <w:spacing w:line="240" w:lineRule="auto"/>
              <w:jc w:val="center"/>
              <w:rPr>
                <w:rFonts w:hint="eastAsia"/>
                <w:sz w:val="19"/>
              </w:rPr>
            </w:pPr>
            <w:r>
              <w:rPr>
                <w:rFonts w:hint="eastAsia"/>
                <w:sz w:val="19"/>
              </w:rPr>
              <w:t>18</w:t>
            </w:r>
          </w:p>
        </w:tc>
        <w:tc>
          <w:tcPr>
            <w:tcW w:w="363" w:type="pct"/>
            <w:shd w:val="clear" w:color="auto" w:fill="auto"/>
            <w:noWrap/>
            <w:vAlign w:val="center"/>
          </w:tcPr>
          <w:p>
            <w:pPr>
              <w:spacing w:line="240" w:lineRule="auto"/>
              <w:jc w:val="center"/>
              <w:rPr>
                <w:rFonts w:hint="eastAsia"/>
                <w:sz w:val="19"/>
              </w:rPr>
            </w:pPr>
            <w:r>
              <w:rPr>
                <w:rFonts w:hint="eastAsia"/>
                <w:sz w:val="19"/>
              </w:rPr>
              <w:t>0</w:t>
            </w:r>
          </w:p>
        </w:tc>
        <w:tc>
          <w:tcPr>
            <w:tcW w:w="452" w:type="pct"/>
            <w:shd w:val="clear" w:color="auto" w:fill="auto"/>
            <w:noWrap/>
            <w:vAlign w:val="center"/>
          </w:tcPr>
          <w:p>
            <w:pPr>
              <w:spacing w:line="240" w:lineRule="auto"/>
              <w:jc w:val="center"/>
              <w:rPr>
                <w:rFonts w:hint="eastAsia"/>
                <w:sz w:val="19"/>
              </w:rPr>
            </w:pPr>
            <w:r>
              <w:rPr>
                <w:rFonts w:hint="eastAsia"/>
                <w:sz w:val="19"/>
              </w:rPr>
              <w:t>2027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44" w:type="pct"/>
            <w:shd w:val="clear" w:color="auto" w:fill="auto"/>
            <w:noWrap/>
            <w:vAlign w:val="center"/>
          </w:tcPr>
          <w:p>
            <w:pPr>
              <w:spacing w:line="240" w:lineRule="auto"/>
              <w:jc w:val="center"/>
              <w:rPr>
                <w:rFonts w:hint="eastAsia"/>
                <w:sz w:val="19"/>
              </w:rPr>
            </w:pPr>
            <w:r>
              <w:rPr>
                <w:rFonts w:hint="eastAsia"/>
                <w:sz w:val="19"/>
              </w:rPr>
              <w:t>2</w:t>
            </w:r>
          </w:p>
        </w:tc>
        <w:tc>
          <w:tcPr>
            <w:tcW w:w="1285" w:type="pct"/>
            <w:shd w:val="clear" w:color="auto" w:fill="auto"/>
            <w:noWrap/>
            <w:vAlign w:val="center"/>
          </w:tcPr>
          <w:p>
            <w:pPr>
              <w:spacing w:line="240" w:lineRule="auto"/>
              <w:jc w:val="center"/>
              <w:rPr>
                <w:rFonts w:hint="eastAsia"/>
                <w:sz w:val="19"/>
              </w:rPr>
            </w:pPr>
            <w:r>
              <w:rPr>
                <w:rFonts w:hint="eastAsia"/>
                <w:sz w:val="19"/>
              </w:rPr>
              <w:t>龙宝城市广场</w:t>
            </w:r>
          </w:p>
        </w:tc>
        <w:tc>
          <w:tcPr>
            <w:tcW w:w="2229" w:type="pct"/>
            <w:shd w:val="clear" w:color="auto" w:fill="auto"/>
            <w:noWrap/>
            <w:vAlign w:val="center"/>
          </w:tcPr>
          <w:p>
            <w:pPr>
              <w:spacing w:line="240" w:lineRule="auto"/>
              <w:jc w:val="center"/>
              <w:rPr>
                <w:rFonts w:hint="eastAsia"/>
                <w:sz w:val="19"/>
              </w:rPr>
            </w:pPr>
            <w:r>
              <w:rPr>
                <w:rFonts w:hint="eastAsia"/>
                <w:sz w:val="19"/>
              </w:rPr>
              <w:t>桓仁满族自治县清华路与长江大街交叉口旁</w:t>
            </w:r>
          </w:p>
        </w:tc>
        <w:tc>
          <w:tcPr>
            <w:tcW w:w="427" w:type="pct"/>
            <w:shd w:val="clear" w:color="auto" w:fill="auto"/>
            <w:noWrap/>
            <w:vAlign w:val="center"/>
          </w:tcPr>
          <w:p>
            <w:pPr>
              <w:spacing w:line="240" w:lineRule="auto"/>
              <w:jc w:val="center"/>
              <w:rPr>
                <w:rFonts w:hint="eastAsia"/>
                <w:sz w:val="19"/>
              </w:rPr>
            </w:pPr>
            <w:r>
              <w:rPr>
                <w:rFonts w:hint="eastAsia"/>
                <w:sz w:val="19"/>
              </w:rPr>
              <w:t>6</w:t>
            </w:r>
          </w:p>
        </w:tc>
        <w:tc>
          <w:tcPr>
            <w:tcW w:w="363" w:type="pct"/>
            <w:shd w:val="clear" w:color="auto" w:fill="auto"/>
            <w:noWrap/>
            <w:vAlign w:val="center"/>
          </w:tcPr>
          <w:p>
            <w:pPr>
              <w:spacing w:line="240" w:lineRule="auto"/>
              <w:jc w:val="center"/>
              <w:rPr>
                <w:rFonts w:hint="eastAsia"/>
                <w:sz w:val="19"/>
              </w:rPr>
            </w:pPr>
            <w:r>
              <w:rPr>
                <w:rFonts w:hint="eastAsia"/>
                <w:sz w:val="19"/>
              </w:rPr>
              <w:t>0</w:t>
            </w:r>
          </w:p>
        </w:tc>
        <w:tc>
          <w:tcPr>
            <w:tcW w:w="452" w:type="pct"/>
            <w:shd w:val="clear" w:color="auto" w:fill="auto"/>
            <w:noWrap/>
            <w:vAlign w:val="center"/>
          </w:tcPr>
          <w:p>
            <w:pPr>
              <w:spacing w:line="240" w:lineRule="auto"/>
              <w:jc w:val="center"/>
              <w:rPr>
                <w:rFonts w:hint="eastAsia"/>
                <w:sz w:val="19"/>
              </w:rPr>
            </w:pPr>
            <w:r>
              <w:rPr>
                <w:rFonts w:hint="eastAsia"/>
                <w:sz w:val="19"/>
              </w:rPr>
              <w:t>2027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44" w:type="pct"/>
            <w:shd w:val="clear" w:color="auto" w:fill="auto"/>
            <w:noWrap/>
            <w:vAlign w:val="center"/>
          </w:tcPr>
          <w:p>
            <w:pPr>
              <w:spacing w:line="240" w:lineRule="auto"/>
              <w:jc w:val="center"/>
              <w:rPr>
                <w:rFonts w:hint="eastAsia"/>
                <w:sz w:val="19"/>
              </w:rPr>
            </w:pPr>
            <w:r>
              <w:rPr>
                <w:rFonts w:hint="eastAsia"/>
                <w:sz w:val="19"/>
              </w:rPr>
              <w:t>3</w:t>
            </w:r>
          </w:p>
        </w:tc>
        <w:tc>
          <w:tcPr>
            <w:tcW w:w="1285" w:type="pct"/>
            <w:shd w:val="clear" w:color="auto" w:fill="auto"/>
            <w:noWrap/>
            <w:vAlign w:val="center"/>
          </w:tcPr>
          <w:p>
            <w:pPr>
              <w:spacing w:line="240" w:lineRule="auto"/>
              <w:jc w:val="center"/>
              <w:rPr>
                <w:rFonts w:hint="eastAsia"/>
                <w:sz w:val="19"/>
              </w:rPr>
            </w:pPr>
            <w:r>
              <w:rPr>
                <w:rFonts w:hint="eastAsia"/>
                <w:sz w:val="19"/>
              </w:rPr>
              <w:t>桓仁满族自治县东铃加油站</w:t>
            </w:r>
          </w:p>
        </w:tc>
        <w:tc>
          <w:tcPr>
            <w:tcW w:w="2229" w:type="pct"/>
            <w:shd w:val="clear" w:color="auto" w:fill="auto"/>
            <w:noWrap/>
            <w:vAlign w:val="center"/>
          </w:tcPr>
          <w:p>
            <w:pPr>
              <w:spacing w:line="240" w:lineRule="auto"/>
              <w:jc w:val="center"/>
              <w:rPr>
                <w:rFonts w:hint="eastAsia"/>
                <w:sz w:val="19"/>
              </w:rPr>
            </w:pPr>
            <w:r>
              <w:rPr>
                <w:rFonts w:hint="eastAsia"/>
                <w:sz w:val="19"/>
              </w:rPr>
              <w:t>桓仁满族自治县511县道与509乡道交叉口的东南方向</w:t>
            </w:r>
          </w:p>
        </w:tc>
        <w:tc>
          <w:tcPr>
            <w:tcW w:w="427" w:type="pct"/>
            <w:shd w:val="clear" w:color="auto" w:fill="auto"/>
            <w:noWrap/>
            <w:vAlign w:val="center"/>
          </w:tcPr>
          <w:p>
            <w:pPr>
              <w:spacing w:line="240" w:lineRule="auto"/>
              <w:jc w:val="center"/>
              <w:rPr>
                <w:rFonts w:hint="eastAsia"/>
                <w:sz w:val="19"/>
              </w:rPr>
            </w:pPr>
            <w:r>
              <w:rPr>
                <w:rFonts w:hint="eastAsia"/>
                <w:sz w:val="19"/>
              </w:rPr>
              <w:t>3</w:t>
            </w:r>
          </w:p>
        </w:tc>
        <w:tc>
          <w:tcPr>
            <w:tcW w:w="363" w:type="pct"/>
            <w:shd w:val="clear" w:color="auto" w:fill="auto"/>
            <w:noWrap/>
            <w:vAlign w:val="center"/>
          </w:tcPr>
          <w:p>
            <w:pPr>
              <w:spacing w:line="240" w:lineRule="auto"/>
              <w:jc w:val="center"/>
              <w:rPr>
                <w:rFonts w:hint="eastAsia"/>
                <w:sz w:val="19"/>
              </w:rPr>
            </w:pPr>
            <w:r>
              <w:rPr>
                <w:rFonts w:hint="eastAsia"/>
                <w:sz w:val="19"/>
              </w:rPr>
              <w:t>0</w:t>
            </w:r>
          </w:p>
        </w:tc>
        <w:tc>
          <w:tcPr>
            <w:tcW w:w="452" w:type="pct"/>
            <w:shd w:val="clear" w:color="auto" w:fill="auto"/>
            <w:noWrap/>
            <w:vAlign w:val="center"/>
          </w:tcPr>
          <w:p>
            <w:pPr>
              <w:spacing w:line="240" w:lineRule="auto"/>
              <w:jc w:val="center"/>
              <w:rPr>
                <w:rFonts w:hint="eastAsia"/>
                <w:sz w:val="19"/>
              </w:rPr>
            </w:pPr>
            <w:r>
              <w:rPr>
                <w:rFonts w:hint="eastAsia"/>
                <w:sz w:val="19"/>
              </w:rPr>
              <w:t>2027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44" w:type="pct"/>
            <w:shd w:val="clear" w:color="auto" w:fill="auto"/>
            <w:noWrap/>
            <w:vAlign w:val="center"/>
          </w:tcPr>
          <w:p>
            <w:pPr>
              <w:spacing w:line="240" w:lineRule="auto"/>
              <w:jc w:val="center"/>
              <w:rPr>
                <w:rFonts w:hint="eastAsia"/>
                <w:sz w:val="19"/>
              </w:rPr>
            </w:pPr>
            <w:r>
              <w:rPr>
                <w:rFonts w:hint="eastAsia"/>
                <w:sz w:val="19"/>
              </w:rPr>
              <w:t>4</w:t>
            </w:r>
          </w:p>
        </w:tc>
        <w:tc>
          <w:tcPr>
            <w:tcW w:w="1285" w:type="pct"/>
            <w:shd w:val="clear" w:color="auto" w:fill="auto"/>
            <w:noWrap/>
            <w:vAlign w:val="center"/>
          </w:tcPr>
          <w:p>
            <w:pPr>
              <w:spacing w:line="240" w:lineRule="auto"/>
              <w:jc w:val="center"/>
              <w:rPr>
                <w:rFonts w:hint="eastAsia"/>
                <w:sz w:val="19"/>
              </w:rPr>
            </w:pPr>
            <w:r>
              <w:rPr>
                <w:rFonts w:hint="eastAsia"/>
                <w:sz w:val="19"/>
              </w:rPr>
              <w:t>双合村村委会</w:t>
            </w:r>
          </w:p>
        </w:tc>
        <w:tc>
          <w:tcPr>
            <w:tcW w:w="2229" w:type="pct"/>
            <w:shd w:val="clear" w:color="auto" w:fill="auto"/>
            <w:noWrap/>
            <w:vAlign w:val="center"/>
          </w:tcPr>
          <w:p>
            <w:pPr>
              <w:spacing w:line="240" w:lineRule="auto"/>
              <w:jc w:val="center"/>
              <w:rPr>
                <w:rFonts w:hint="eastAsia"/>
                <w:sz w:val="19"/>
              </w:rPr>
            </w:pPr>
            <w:r>
              <w:rPr>
                <w:rFonts w:hint="eastAsia"/>
                <w:sz w:val="19"/>
              </w:rPr>
              <w:t>向阳乡向双线与585乡道交叉口西50米</w:t>
            </w:r>
          </w:p>
        </w:tc>
        <w:tc>
          <w:tcPr>
            <w:tcW w:w="427" w:type="pct"/>
            <w:shd w:val="clear" w:color="auto" w:fill="auto"/>
            <w:noWrap/>
            <w:vAlign w:val="center"/>
          </w:tcPr>
          <w:p>
            <w:pPr>
              <w:spacing w:line="240" w:lineRule="auto"/>
              <w:jc w:val="center"/>
              <w:rPr>
                <w:rFonts w:hint="eastAsia"/>
                <w:sz w:val="19"/>
              </w:rPr>
            </w:pPr>
            <w:r>
              <w:rPr>
                <w:rFonts w:hint="eastAsia"/>
                <w:sz w:val="19"/>
              </w:rPr>
              <w:t>3</w:t>
            </w:r>
          </w:p>
        </w:tc>
        <w:tc>
          <w:tcPr>
            <w:tcW w:w="363" w:type="pct"/>
            <w:shd w:val="clear" w:color="auto" w:fill="auto"/>
            <w:noWrap/>
            <w:vAlign w:val="center"/>
          </w:tcPr>
          <w:p>
            <w:pPr>
              <w:spacing w:line="240" w:lineRule="auto"/>
              <w:jc w:val="center"/>
              <w:rPr>
                <w:rFonts w:hint="eastAsia"/>
                <w:sz w:val="19"/>
              </w:rPr>
            </w:pPr>
            <w:r>
              <w:rPr>
                <w:rFonts w:hint="eastAsia"/>
                <w:sz w:val="19"/>
              </w:rPr>
              <w:t>0</w:t>
            </w:r>
          </w:p>
        </w:tc>
        <w:tc>
          <w:tcPr>
            <w:tcW w:w="452" w:type="pct"/>
            <w:shd w:val="clear" w:color="auto" w:fill="auto"/>
            <w:noWrap/>
            <w:vAlign w:val="center"/>
          </w:tcPr>
          <w:p>
            <w:pPr>
              <w:spacing w:line="240" w:lineRule="auto"/>
              <w:jc w:val="center"/>
              <w:rPr>
                <w:rFonts w:hint="eastAsia"/>
                <w:sz w:val="19"/>
              </w:rPr>
            </w:pPr>
            <w:r>
              <w:rPr>
                <w:rFonts w:hint="eastAsia"/>
                <w:sz w:val="19"/>
              </w:rPr>
              <w:t>2027</w:t>
            </w:r>
          </w:p>
        </w:tc>
      </w:tr>
    </w:tbl>
    <w:p>
      <w:pPr>
        <w:pStyle w:val="6"/>
        <w:numPr>
          <w:ilvl w:val="4"/>
          <w:numId w:val="15"/>
        </w:numPr>
        <w:ind w:firstLine="560" w:firstLineChars="200"/>
        <w:rPr>
          <w:rFonts w:hint="eastAsia"/>
        </w:rPr>
      </w:pPr>
      <w:r>
        <w:rPr>
          <w:rFonts w:hint="eastAsia" w:cs="仿宋_GB2312"/>
          <w:szCs w:val="28"/>
        </w:rPr>
        <w:t>桓仁满族自治县向阳乡枫林谷森林公园停车场充电设施规划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7</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建设必要性：为了满足桓仁满族自治县枫林谷森林公园和回和线的电动汽车充电需求。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18</w:t>
      </w:r>
      <w:r>
        <w:rPr>
          <w:rFonts w:hint="eastAsia" w:cs="仿宋_GB2312"/>
          <w:szCs w:val="28"/>
        </w:rPr>
        <w:t>台快充</w:t>
      </w:r>
      <w:r>
        <w:rPr>
          <w:rFonts w:cs="仿宋_GB2312"/>
          <w:szCs w:val="28"/>
        </w:rPr>
        <w:t>60</w:t>
      </w:r>
      <w:r>
        <w:rPr>
          <w:rFonts w:hint="eastAsia" w:cs="仿宋_GB2312"/>
          <w:szCs w:val="28"/>
        </w:rPr>
        <w:t>kW充电桩。</w:t>
      </w:r>
    </w:p>
    <w:p>
      <w:pPr>
        <w:pStyle w:val="217"/>
        <w:spacing w:line="240" w:lineRule="auto"/>
        <w:rPr>
          <w:rFonts w:ascii="黑体" w:hAnsi="黑体" w:eastAsia="黑体"/>
          <w:b/>
          <w:sz w:val="20"/>
        </w:rPr>
      </w:pPr>
      <w:r>
        <w:rPr>
          <w:rFonts w:ascii="黑体" w:hAnsi="黑体" w:eastAsia="黑体"/>
          <w:b/>
          <w:sz w:val="20"/>
        </w:rPr>
        <w:drawing>
          <wp:inline distT="0" distB="0" distL="0" distR="0">
            <wp:extent cx="5274310" cy="1765935"/>
            <wp:effectExtent l="0" t="0" r="2540" b="5715"/>
            <wp:docPr id="10764537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453712" name="图片 1"/>
                    <pic:cNvPicPr>
                      <a:picLocks noChangeAspect="1"/>
                    </pic:cNvPicPr>
                  </pic:nvPicPr>
                  <pic:blipFill>
                    <a:blip r:embed="rId44"/>
                    <a:stretch>
                      <a:fillRect/>
                    </a:stretch>
                  </pic:blipFill>
                  <pic:spPr>
                    <a:xfrm>
                      <a:off x="0" y="0"/>
                      <a:ext cx="5274310" cy="1765935"/>
                    </a:xfrm>
                    <a:prstGeom prst="rect">
                      <a:avLst/>
                    </a:prstGeom>
                  </pic:spPr>
                </pic:pic>
              </a:graphicData>
            </a:graphic>
          </wp:inline>
        </w:drawing>
      </w:r>
    </w:p>
    <w:p>
      <w:pPr>
        <w:pStyle w:val="8"/>
      </w:pPr>
      <w:r>
        <w:rPr>
          <w:rFonts w:hint="eastAsia"/>
        </w:rPr>
        <w:t>桓仁满族自治县向阳乡枫林谷森林公园停车</w:t>
      </w:r>
      <w:r>
        <w:rPr>
          <w:rFonts w:hint="eastAsia" w:cs="仿宋_GB2312"/>
          <w:szCs w:val="28"/>
        </w:rPr>
        <w:t>场</w:t>
      </w:r>
      <w:r>
        <w:rPr>
          <w:rFonts w:hint="eastAsia"/>
        </w:rPr>
        <w:t>卫星地理图及现场图</w:t>
      </w:r>
    </w:p>
    <w:p>
      <w:pPr>
        <w:pStyle w:val="6"/>
        <w:numPr>
          <w:ilvl w:val="4"/>
          <w:numId w:val="15"/>
        </w:numPr>
        <w:ind w:firstLine="560" w:firstLineChars="200"/>
        <w:rPr>
          <w:rFonts w:hint="eastAsia"/>
        </w:rPr>
      </w:pPr>
      <w:r>
        <w:rPr>
          <w:rFonts w:hint="eastAsia" w:cs="仿宋_GB2312"/>
          <w:szCs w:val="28"/>
        </w:rPr>
        <w:t>桓仁满族自治县八卦城龙宝城市广场停车场充电设施规划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7</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建设必要性：为了满足桓仁满族自治县长江大街、龙宝路以及周边居民的电动汽车充电需求。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6</w:t>
      </w:r>
      <w:r>
        <w:rPr>
          <w:rFonts w:hint="eastAsia" w:cs="仿宋_GB2312"/>
          <w:szCs w:val="28"/>
        </w:rPr>
        <w:t>台快充</w:t>
      </w:r>
      <w:r>
        <w:rPr>
          <w:rFonts w:cs="仿宋_GB2312"/>
          <w:szCs w:val="28"/>
        </w:rPr>
        <w:t>60</w:t>
      </w:r>
      <w:r>
        <w:rPr>
          <w:rFonts w:hint="eastAsia" w:cs="仿宋_GB2312"/>
          <w:szCs w:val="28"/>
        </w:rPr>
        <w:t>kW充电桩。</w:t>
      </w:r>
    </w:p>
    <w:p>
      <w:pPr>
        <w:pStyle w:val="217"/>
        <w:spacing w:line="240" w:lineRule="auto"/>
        <w:ind w:firstLine="420"/>
        <w:rPr>
          <w:rFonts w:ascii="黑体" w:hAnsi="黑体" w:eastAsia="黑体"/>
          <w:b/>
          <w:sz w:val="20"/>
        </w:rPr>
      </w:pPr>
      <w:r>
        <w:rPr>
          <w:rFonts w:ascii="黑体" w:hAnsi="黑体" w:eastAsia="黑体"/>
          <w:b/>
          <w:sz w:val="20"/>
        </w:rPr>
        <w:drawing>
          <wp:inline distT="0" distB="0" distL="0" distR="0">
            <wp:extent cx="3474720" cy="2362200"/>
            <wp:effectExtent l="0" t="0" r="0" b="0"/>
            <wp:docPr id="11605332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533244" name="图片 1"/>
                    <pic:cNvPicPr>
                      <a:picLocks noChangeAspect="1"/>
                    </pic:cNvPicPr>
                  </pic:nvPicPr>
                  <pic:blipFill>
                    <a:blip r:embed="rId45"/>
                    <a:stretch>
                      <a:fillRect/>
                    </a:stretch>
                  </pic:blipFill>
                  <pic:spPr>
                    <a:xfrm>
                      <a:off x="0" y="0"/>
                      <a:ext cx="3475021" cy="2362405"/>
                    </a:xfrm>
                    <a:prstGeom prst="rect">
                      <a:avLst/>
                    </a:prstGeom>
                  </pic:spPr>
                </pic:pic>
              </a:graphicData>
            </a:graphic>
          </wp:inline>
        </w:drawing>
      </w:r>
    </w:p>
    <w:p>
      <w:pPr>
        <w:pStyle w:val="8"/>
      </w:pPr>
      <w:r>
        <w:rPr>
          <w:rFonts w:hint="eastAsia"/>
        </w:rPr>
        <w:t>桓仁满族自治县八卦城龙宝城市广场停</w:t>
      </w:r>
      <w:r>
        <w:rPr>
          <w:rFonts w:hint="eastAsia" w:cs="仿宋_GB2312"/>
          <w:szCs w:val="28"/>
        </w:rPr>
        <w:t>车场</w:t>
      </w:r>
      <w:r>
        <w:rPr>
          <w:rFonts w:hint="eastAsia"/>
        </w:rPr>
        <w:t>卫星地理图</w:t>
      </w:r>
    </w:p>
    <w:p>
      <w:pPr>
        <w:pStyle w:val="6"/>
        <w:numPr>
          <w:ilvl w:val="4"/>
          <w:numId w:val="15"/>
        </w:numPr>
        <w:ind w:firstLine="560" w:firstLineChars="200"/>
        <w:rPr>
          <w:rFonts w:hint="eastAsia"/>
        </w:rPr>
      </w:pPr>
      <w:r>
        <w:rPr>
          <w:rFonts w:hint="eastAsia" w:cs="仿宋_GB2312"/>
          <w:szCs w:val="28"/>
        </w:rPr>
        <w:t>桓仁满族自治县二棚甸子镇东铃加油站充电设施规划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7</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建设必要性：为了满足桓仁满族自治县凤柞线以及周边居民的电动汽车充电需求。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3</w:t>
      </w:r>
      <w:r>
        <w:rPr>
          <w:rFonts w:hint="eastAsia" w:cs="仿宋_GB2312"/>
          <w:szCs w:val="28"/>
        </w:rPr>
        <w:t>台快充</w:t>
      </w:r>
      <w:r>
        <w:rPr>
          <w:rFonts w:cs="仿宋_GB2312"/>
          <w:szCs w:val="28"/>
        </w:rPr>
        <w:t>60</w:t>
      </w:r>
      <w:r>
        <w:rPr>
          <w:rFonts w:hint="eastAsia" w:cs="仿宋_GB2312"/>
          <w:szCs w:val="28"/>
        </w:rPr>
        <w:t>kW充电桩。</w:t>
      </w:r>
    </w:p>
    <w:p>
      <w:pPr>
        <w:pStyle w:val="217"/>
        <w:spacing w:line="240" w:lineRule="auto"/>
        <w:ind w:firstLine="420"/>
        <w:rPr>
          <w:rFonts w:ascii="黑体" w:hAnsi="黑体" w:eastAsia="黑体"/>
          <w:b/>
          <w:sz w:val="20"/>
        </w:rPr>
      </w:pPr>
      <w:r>
        <w:rPr>
          <w:rFonts w:ascii="黑体" w:hAnsi="黑体" w:eastAsia="黑体"/>
          <w:b/>
          <w:sz w:val="20"/>
        </w:rPr>
        <w:drawing>
          <wp:inline distT="0" distB="0" distL="0" distR="0">
            <wp:extent cx="3368040" cy="2263140"/>
            <wp:effectExtent l="0" t="0" r="3810" b="3810"/>
            <wp:docPr id="3457075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707511" name="图片 1"/>
                    <pic:cNvPicPr>
                      <a:picLocks noChangeAspect="1"/>
                    </pic:cNvPicPr>
                  </pic:nvPicPr>
                  <pic:blipFill>
                    <a:blip r:embed="rId46"/>
                    <a:stretch>
                      <a:fillRect/>
                    </a:stretch>
                  </pic:blipFill>
                  <pic:spPr>
                    <a:xfrm>
                      <a:off x="0" y="0"/>
                      <a:ext cx="3368332" cy="2263336"/>
                    </a:xfrm>
                    <a:prstGeom prst="rect">
                      <a:avLst/>
                    </a:prstGeom>
                  </pic:spPr>
                </pic:pic>
              </a:graphicData>
            </a:graphic>
          </wp:inline>
        </w:drawing>
      </w:r>
    </w:p>
    <w:p>
      <w:pPr>
        <w:pStyle w:val="8"/>
      </w:pPr>
      <w:r>
        <w:rPr>
          <w:rFonts w:hint="eastAsia" w:cs="仿宋_GB2312"/>
          <w:szCs w:val="28"/>
        </w:rPr>
        <w:t>桓仁满族自治县</w:t>
      </w:r>
      <w:r>
        <w:rPr>
          <w:rFonts w:hint="eastAsia"/>
        </w:rPr>
        <w:t>二棚甸子镇桓东铃加油站卫星地理图</w:t>
      </w:r>
    </w:p>
    <w:p>
      <w:pPr>
        <w:pStyle w:val="6"/>
        <w:numPr>
          <w:ilvl w:val="4"/>
          <w:numId w:val="15"/>
        </w:numPr>
        <w:ind w:firstLine="560" w:firstLineChars="200"/>
        <w:rPr>
          <w:rFonts w:hint="eastAsia"/>
        </w:rPr>
      </w:pPr>
      <w:r>
        <w:rPr>
          <w:rFonts w:hint="eastAsia" w:cs="仿宋_GB2312"/>
          <w:szCs w:val="28"/>
        </w:rPr>
        <w:t>桓仁满族自治县向阳乡双合村村委会停车场充电设施规划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7</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建设必要性：为了满足桓仁满族自治县向双线、双南线以及周边居民的电动汽车充电需求。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3</w:t>
      </w:r>
      <w:r>
        <w:rPr>
          <w:rFonts w:hint="eastAsia" w:cs="仿宋_GB2312"/>
          <w:szCs w:val="28"/>
        </w:rPr>
        <w:t>台快充</w:t>
      </w:r>
      <w:r>
        <w:rPr>
          <w:rFonts w:cs="仿宋_GB2312"/>
          <w:szCs w:val="28"/>
        </w:rPr>
        <w:t>60</w:t>
      </w:r>
      <w:r>
        <w:rPr>
          <w:rFonts w:hint="eastAsia" w:cs="仿宋_GB2312"/>
          <w:szCs w:val="28"/>
        </w:rPr>
        <w:t>kW充电桩。</w:t>
      </w:r>
    </w:p>
    <w:p>
      <w:pPr>
        <w:pStyle w:val="217"/>
        <w:spacing w:line="240" w:lineRule="auto"/>
        <w:ind w:firstLine="420"/>
        <w:rPr>
          <w:rFonts w:ascii="黑体" w:hAnsi="黑体" w:eastAsia="黑体"/>
          <w:b/>
          <w:sz w:val="20"/>
        </w:rPr>
      </w:pPr>
      <w:r>
        <w:rPr>
          <w:rFonts w:ascii="黑体" w:hAnsi="黑体" w:eastAsia="黑体"/>
          <w:b/>
          <w:sz w:val="20"/>
        </w:rPr>
        <w:drawing>
          <wp:inline distT="0" distB="0" distL="0" distR="0">
            <wp:extent cx="3451860" cy="2301240"/>
            <wp:effectExtent l="0" t="0" r="0" b="3810"/>
            <wp:docPr id="1753431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43130" name="图片 1"/>
                    <pic:cNvPicPr>
                      <a:picLocks noChangeAspect="1"/>
                    </pic:cNvPicPr>
                  </pic:nvPicPr>
                  <pic:blipFill>
                    <a:blip r:embed="rId47"/>
                    <a:stretch>
                      <a:fillRect/>
                    </a:stretch>
                  </pic:blipFill>
                  <pic:spPr>
                    <a:xfrm>
                      <a:off x="0" y="0"/>
                      <a:ext cx="3452159" cy="2301439"/>
                    </a:xfrm>
                    <a:prstGeom prst="rect">
                      <a:avLst/>
                    </a:prstGeom>
                  </pic:spPr>
                </pic:pic>
              </a:graphicData>
            </a:graphic>
          </wp:inline>
        </w:drawing>
      </w:r>
    </w:p>
    <w:p>
      <w:pPr>
        <w:pStyle w:val="8"/>
      </w:pPr>
      <w:r>
        <w:rPr>
          <w:rFonts w:hint="eastAsia"/>
        </w:rPr>
        <w:t>桓仁满族自治县向阳乡双合村村委会停</w:t>
      </w:r>
      <w:r>
        <w:rPr>
          <w:rFonts w:hint="eastAsia" w:cs="仿宋_GB2312"/>
          <w:szCs w:val="28"/>
        </w:rPr>
        <w:t>车场</w:t>
      </w:r>
      <w:r>
        <w:rPr>
          <w:rFonts w:hint="eastAsia"/>
        </w:rPr>
        <w:t>卫星地理图</w:t>
      </w:r>
    </w:p>
    <w:p>
      <w:pPr>
        <w:pStyle w:val="5"/>
      </w:pPr>
      <w:r>
        <w:rPr>
          <w:bCs/>
          <w:sz w:val="32"/>
          <w:szCs w:val="32"/>
        </w:rPr>
        <w:t>2028</w:t>
      </w:r>
      <w:r>
        <w:rPr>
          <w:rFonts w:hint="eastAsia"/>
          <w:bCs/>
          <w:sz w:val="32"/>
          <w:szCs w:val="32"/>
        </w:rPr>
        <w:t>年公共充电设施规划</w:t>
      </w:r>
    </w:p>
    <w:p>
      <w:pPr>
        <w:spacing w:line="360" w:lineRule="auto"/>
        <w:ind w:firstLine="560" w:firstLineChars="200"/>
        <w:jc w:val="left"/>
        <w:rPr>
          <w:rFonts w:hint="eastAsia"/>
        </w:rPr>
      </w:pPr>
      <w:r>
        <w:rPr>
          <w:rFonts w:hint="eastAsia" w:cs="仿宋_GB2312"/>
          <w:szCs w:val="22"/>
        </w:rPr>
        <w:t>2</w:t>
      </w:r>
      <w:r>
        <w:rPr>
          <w:rFonts w:cs="仿宋_GB2312"/>
          <w:szCs w:val="22"/>
        </w:rPr>
        <w:t>028</w:t>
      </w:r>
      <w:r>
        <w:rPr>
          <w:rFonts w:hint="eastAsia" w:cs="仿宋_GB2312"/>
          <w:szCs w:val="22"/>
        </w:rPr>
        <w:t>年桓仁满族自治县</w:t>
      </w:r>
      <w:r>
        <w:rPr>
          <w:rFonts w:cs="仿宋_GB2312"/>
          <w:szCs w:val="22"/>
        </w:rPr>
        <w:t>规划新建公共充电站</w:t>
      </w:r>
      <w:r>
        <w:rPr>
          <w:rFonts w:hint="eastAsia" w:cs="仿宋_GB2312"/>
          <w:szCs w:val="22"/>
        </w:rPr>
        <w:t>9</w:t>
      </w:r>
      <w:r>
        <w:rPr>
          <w:rFonts w:cs="仿宋_GB2312"/>
          <w:szCs w:val="22"/>
        </w:rPr>
        <w:t>座，新增公共充电桩</w:t>
      </w:r>
      <w:r>
        <w:rPr>
          <w:rFonts w:hint="eastAsia" w:cs="仿宋_GB2312"/>
          <w:szCs w:val="22"/>
        </w:rPr>
        <w:t>43</w:t>
      </w:r>
      <w:r>
        <w:rPr>
          <w:rFonts w:cs="仿宋_GB2312"/>
          <w:szCs w:val="22"/>
        </w:rPr>
        <w:t>个</w:t>
      </w:r>
      <w:r>
        <w:rPr>
          <w:rFonts w:hint="eastAsia"/>
        </w:rPr>
        <w:t>（充电枪43个）</w:t>
      </w:r>
      <w:r>
        <w:rPr>
          <w:rFonts w:cs="仿宋_GB2312"/>
          <w:szCs w:val="22"/>
        </w:rPr>
        <w:t>，</w:t>
      </w:r>
      <w:r>
        <w:rPr>
          <w:rFonts w:hint="eastAsia" w:cs="仿宋_GB2312"/>
          <w:szCs w:val="22"/>
        </w:rPr>
        <w:t>全部为</w:t>
      </w:r>
      <w:r>
        <w:rPr>
          <w:rFonts w:cs="仿宋_GB2312"/>
          <w:szCs w:val="22"/>
        </w:rPr>
        <w:t>快充充电桩。</w:t>
      </w:r>
      <w:r>
        <w:rPr>
          <w:rFonts w:hint="eastAsia" w:cs="仿宋_GB2312"/>
          <w:szCs w:val="22"/>
        </w:rPr>
        <w:t>桓仁满族自治县2</w:t>
      </w:r>
      <w:r>
        <w:rPr>
          <w:rFonts w:cs="仿宋_GB2312"/>
          <w:szCs w:val="22"/>
        </w:rPr>
        <w:t>028</w:t>
      </w:r>
      <w:r>
        <w:rPr>
          <w:rFonts w:hint="eastAsia" w:cs="仿宋_GB2312"/>
          <w:szCs w:val="22"/>
        </w:rPr>
        <w:t>年</w:t>
      </w:r>
      <w:r>
        <w:rPr>
          <w:rFonts w:cs="仿宋_GB2312"/>
          <w:szCs w:val="22"/>
        </w:rPr>
        <w:t>规划公共充电设施站点如下所示。</w:t>
      </w:r>
      <w:r>
        <w:drawing>
          <wp:inline distT="0" distB="0" distL="0" distR="0">
            <wp:extent cx="5274310" cy="3723640"/>
            <wp:effectExtent l="0" t="0" r="2540" b="0"/>
            <wp:docPr id="21088221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822145" name="图片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274310" cy="3723640"/>
                    </a:xfrm>
                    <a:prstGeom prst="rect">
                      <a:avLst/>
                    </a:prstGeom>
                    <a:noFill/>
                    <a:ln>
                      <a:noFill/>
                    </a:ln>
                  </pic:spPr>
                </pic:pic>
              </a:graphicData>
            </a:graphic>
          </wp:inline>
        </w:drawing>
      </w:r>
      <w:r>
        <w:t xml:space="preserve"> </w:t>
      </w:r>
    </w:p>
    <w:p>
      <w:pPr>
        <w:pStyle w:val="8"/>
      </w:pPr>
      <w:r>
        <w:rPr>
          <w:rFonts w:hint="eastAsia"/>
        </w:rPr>
        <w:t>桓仁满族自治县2</w:t>
      </w:r>
      <w:r>
        <w:t>028</w:t>
      </w:r>
      <w:r>
        <w:rPr>
          <w:rFonts w:hint="eastAsia"/>
        </w:rPr>
        <w:t>年</w:t>
      </w:r>
      <w:r>
        <w:t>公共充电设施</w:t>
      </w:r>
      <w:r>
        <w:rPr>
          <w:rFonts w:hint="eastAsia"/>
        </w:rPr>
        <w:t>点位</w:t>
      </w:r>
      <w:r>
        <w:t>布局</w:t>
      </w:r>
    </w:p>
    <w:p>
      <w:pPr>
        <w:pStyle w:val="7"/>
      </w:pPr>
      <w:r>
        <w:rPr>
          <w:rFonts w:hint="eastAsia"/>
        </w:rPr>
        <w:t>桓仁满族自治县2</w:t>
      </w:r>
      <w:r>
        <w:t>028</w:t>
      </w:r>
      <w:r>
        <w:rPr>
          <w:rFonts w:hint="eastAsia"/>
        </w:rPr>
        <w:t>年</w:t>
      </w:r>
      <w:r>
        <w:t>公共充电设施规划项目表</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424"/>
        <w:gridCol w:w="2255"/>
        <w:gridCol w:w="4042"/>
        <w:gridCol w:w="424"/>
        <w:gridCol w:w="424"/>
        <w:gridCol w:w="79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229" w:type="pct"/>
            <w:vMerge w:val="restart"/>
            <w:shd w:val="clear" w:color="auto" w:fill="D9D9D9"/>
            <w:noWrap/>
            <w:vAlign w:val="center"/>
          </w:tcPr>
          <w:p>
            <w:pPr>
              <w:spacing w:line="240" w:lineRule="auto"/>
              <w:jc w:val="center"/>
              <w:rPr>
                <w:rFonts w:hint="eastAsia"/>
                <w:b/>
                <w:sz w:val="19"/>
              </w:rPr>
            </w:pPr>
            <w:r>
              <w:rPr>
                <w:rFonts w:hint="eastAsia"/>
                <w:b/>
                <w:sz w:val="19"/>
              </w:rPr>
              <w:t>序号</w:t>
            </w:r>
          </w:p>
        </w:tc>
        <w:tc>
          <w:tcPr>
            <w:tcW w:w="1748" w:type="pct"/>
            <w:vMerge w:val="restart"/>
            <w:shd w:val="clear" w:color="auto" w:fill="D9D9D9"/>
            <w:noWrap/>
            <w:vAlign w:val="center"/>
          </w:tcPr>
          <w:p>
            <w:pPr>
              <w:spacing w:line="240" w:lineRule="auto"/>
              <w:jc w:val="center"/>
              <w:rPr>
                <w:rFonts w:hint="eastAsia"/>
                <w:b/>
                <w:sz w:val="19"/>
              </w:rPr>
            </w:pPr>
            <w:r>
              <w:rPr>
                <w:rFonts w:hint="eastAsia"/>
                <w:b/>
                <w:sz w:val="19"/>
              </w:rPr>
              <w:t>停车场名称</w:t>
            </w:r>
          </w:p>
        </w:tc>
        <w:tc>
          <w:tcPr>
            <w:tcW w:w="2143" w:type="pct"/>
            <w:vMerge w:val="restart"/>
            <w:shd w:val="clear" w:color="auto" w:fill="D9D9D9"/>
            <w:noWrap/>
            <w:vAlign w:val="center"/>
          </w:tcPr>
          <w:p>
            <w:pPr>
              <w:spacing w:line="240" w:lineRule="auto"/>
              <w:jc w:val="center"/>
              <w:rPr>
                <w:rFonts w:hint="eastAsia"/>
                <w:b/>
                <w:sz w:val="19"/>
              </w:rPr>
            </w:pPr>
            <w:r>
              <w:rPr>
                <w:rFonts w:hint="eastAsia"/>
                <w:b/>
                <w:sz w:val="19"/>
              </w:rPr>
              <w:t>具体位置</w:t>
            </w:r>
          </w:p>
        </w:tc>
        <w:tc>
          <w:tcPr>
            <w:tcW w:w="457" w:type="pct"/>
            <w:gridSpan w:val="2"/>
            <w:shd w:val="clear" w:color="auto" w:fill="D9D9D9"/>
            <w:vAlign w:val="center"/>
          </w:tcPr>
          <w:p>
            <w:pPr>
              <w:spacing w:line="240" w:lineRule="auto"/>
              <w:jc w:val="center"/>
              <w:rPr>
                <w:rFonts w:hint="eastAsia"/>
                <w:b/>
                <w:sz w:val="19"/>
              </w:rPr>
            </w:pPr>
            <w:r>
              <w:rPr>
                <w:rFonts w:hint="eastAsia"/>
                <w:b/>
                <w:sz w:val="19"/>
              </w:rPr>
              <w:t>设置充电桩设施数量（台）</w:t>
            </w:r>
          </w:p>
        </w:tc>
        <w:tc>
          <w:tcPr>
            <w:tcW w:w="423" w:type="pct"/>
            <w:vMerge w:val="restart"/>
            <w:shd w:val="clear" w:color="auto" w:fill="D9D9D9"/>
            <w:noWrap/>
            <w:vAlign w:val="center"/>
          </w:tcPr>
          <w:p>
            <w:pPr>
              <w:spacing w:line="240" w:lineRule="auto"/>
              <w:jc w:val="center"/>
              <w:rPr>
                <w:rFonts w:hint="eastAsia"/>
                <w:b/>
                <w:sz w:val="19"/>
              </w:rPr>
            </w:pPr>
            <w:r>
              <w:rPr>
                <w:rFonts w:hint="eastAsia"/>
                <w:b/>
                <w:sz w:val="19"/>
              </w:rPr>
              <w:t>建设年份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229" w:type="pct"/>
            <w:vMerge w:val="continue"/>
            <w:shd w:val="clear" w:color="auto" w:fill="D9D9D9"/>
            <w:vAlign w:val="center"/>
          </w:tcPr>
          <w:p>
            <w:pPr>
              <w:spacing w:line="240" w:lineRule="auto"/>
              <w:jc w:val="center"/>
              <w:rPr>
                <w:rFonts w:hint="eastAsia"/>
                <w:b/>
                <w:sz w:val="19"/>
              </w:rPr>
            </w:pPr>
          </w:p>
        </w:tc>
        <w:tc>
          <w:tcPr>
            <w:tcW w:w="1748" w:type="pct"/>
            <w:vMerge w:val="continue"/>
            <w:shd w:val="clear" w:color="auto" w:fill="D9D9D9"/>
            <w:vAlign w:val="center"/>
          </w:tcPr>
          <w:p>
            <w:pPr>
              <w:spacing w:line="240" w:lineRule="auto"/>
              <w:jc w:val="center"/>
              <w:rPr>
                <w:rFonts w:hint="eastAsia"/>
                <w:b/>
                <w:sz w:val="19"/>
              </w:rPr>
            </w:pPr>
          </w:p>
        </w:tc>
        <w:tc>
          <w:tcPr>
            <w:tcW w:w="2143" w:type="pct"/>
            <w:vMerge w:val="continue"/>
            <w:shd w:val="clear" w:color="auto" w:fill="D9D9D9"/>
            <w:vAlign w:val="center"/>
          </w:tcPr>
          <w:p>
            <w:pPr>
              <w:spacing w:line="240" w:lineRule="auto"/>
              <w:jc w:val="center"/>
              <w:rPr>
                <w:rFonts w:hint="eastAsia"/>
                <w:b/>
                <w:sz w:val="19"/>
              </w:rPr>
            </w:pPr>
          </w:p>
        </w:tc>
        <w:tc>
          <w:tcPr>
            <w:tcW w:w="229" w:type="pct"/>
            <w:shd w:val="clear" w:color="auto" w:fill="D9D9D9"/>
            <w:noWrap/>
            <w:vAlign w:val="center"/>
          </w:tcPr>
          <w:p>
            <w:pPr>
              <w:spacing w:line="240" w:lineRule="auto"/>
              <w:jc w:val="center"/>
              <w:rPr>
                <w:rFonts w:hint="eastAsia"/>
                <w:b/>
                <w:sz w:val="19"/>
              </w:rPr>
            </w:pPr>
            <w:r>
              <w:rPr>
                <w:rFonts w:hint="eastAsia"/>
                <w:b/>
                <w:sz w:val="19"/>
              </w:rPr>
              <w:t>快充</w:t>
            </w:r>
          </w:p>
        </w:tc>
        <w:tc>
          <w:tcPr>
            <w:tcW w:w="229" w:type="pct"/>
            <w:shd w:val="clear" w:color="auto" w:fill="D9D9D9"/>
            <w:noWrap/>
            <w:vAlign w:val="center"/>
          </w:tcPr>
          <w:p>
            <w:pPr>
              <w:spacing w:line="240" w:lineRule="auto"/>
              <w:jc w:val="center"/>
              <w:rPr>
                <w:rFonts w:hint="eastAsia"/>
                <w:b/>
                <w:sz w:val="19"/>
              </w:rPr>
            </w:pPr>
            <w:r>
              <w:rPr>
                <w:rFonts w:hint="eastAsia"/>
                <w:b/>
                <w:sz w:val="19"/>
              </w:rPr>
              <w:t>慢充</w:t>
            </w:r>
          </w:p>
        </w:tc>
        <w:tc>
          <w:tcPr>
            <w:tcW w:w="423" w:type="pct"/>
            <w:vMerge w:val="continue"/>
            <w:shd w:val="clear" w:color="auto" w:fill="D9D9D9"/>
            <w:vAlign w:val="center"/>
          </w:tcPr>
          <w:p>
            <w:pPr>
              <w:spacing w:line="240" w:lineRule="auto"/>
              <w:jc w:val="center"/>
              <w:rPr>
                <w:rFonts w:hint="eastAsia"/>
                <w:b/>
                <w:sz w:val="19"/>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29" w:type="pct"/>
            <w:shd w:val="clear" w:color="auto" w:fill="auto"/>
            <w:noWrap/>
            <w:vAlign w:val="center"/>
          </w:tcPr>
          <w:p>
            <w:pPr>
              <w:spacing w:line="240" w:lineRule="auto"/>
              <w:jc w:val="center"/>
              <w:rPr>
                <w:rFonts w:hint="eastAsia"/>
                <w:sz w:val="19"/>
              </w:rPr>
            </w:pPr>
            <w:r>
              <w:rPr>
                <w:rFonts w:hint="eastAsia"/>
                <w:sz w:val="19"/>
              </w:rPr>
              <w:t>1</w:t>
            </w:r>
          </w:p>
        </w:tc>
        <w:tc>
          <w:tcPr>
            <w:tcW w:w="1748" w:type="pct"/>
            <w:shd w:val="clear" w:color="auto" w:fill="auto"/>
            <w:noWrap/>
            <w:vAlign w:val="center"/>
          </w:tcPr>
          <w:p>
            <w:pPr>
              <w:spacing w:line="240" w:lineRule="auto"/>
              <w:jc w:val="center"/>
              <w:rPr>
                <w:rFonts w:hint="eastAsia"/>
                <w:sz w:val="19"/>
              </w:rPr>
            </w:pPr>
            <w:r>
              <w:rPr>
                <w:rFonts w:hint="eastAsia"/>
                <w:sz w:val="19"/>
              </w:rPr>
              <w:t>漫谷度假小镇景区</w:t>
            </w:r>
          </w:p>
        </w:tc>
        <w:tc>
          <w:tcPr>
            <w:tcW w:w="2143" w:type="pct"/>
            <w:shd w:val="clear" w:color="auto" w:fill="auto"/>
            <w:noWrap/>
            <w:vAlign w:val="center"/>
          </w:tcPr>
          <w:p>
            <w:pPr>
              <w:spacing w:line="240" w:lineRule="auto"/>
              <w:jc w:val="center"/>
              <w:rPr>
                <w:rFonts w:hint="eastAsia"/>
                <w:sz w:val="19"/>
              </w:rPr>
            </w:pPr>
            <w:r>
              <w:rPr>
                <w:rFonts w:hint="eastAsia"/>
                <w:sz w:val="19"/>
              </w:rPr>
              <w:t>桓仁满族自治县枫林谷高速公路口下右转2.5公里</w:t>
            </w:r>
          </w:p>
        </w:tc>
        <w:tc>
          <w:tcPr>
            <w:tcW w:w="229" w:type="pct"/>
            <w:shd w:val="clear" w:color="auto" w:fill="auto"/>
            <w:noWrap/>
            <w:vAlign w:val="center"/>
          </w:tcPr>
          <w:p>
            <w:pPr>
              <w:spacing w:line="240" w:lineRule="auto"/>
              <w:jc w:val="center"/>
              <w:rPr>
                <w:rFonts w:hint="eastAsia"/>
                <w:sz w:val="19"/>
              </w:rPr>
            </w:pPr>
            <w:r>
              <w:rPr>
                <w:rFonts w:hint="eastAsia"/>
                <w:sz w:val="19"/>
              </w:rPr>
              <w:t>6</w:t>
            </w:r>
          </w:p>
        </w:tc>
        <w:tc>
          <w:tcPr>
            <w:tcW w:w="229" w:type="pct"/>
            <w:shd w:val="clear" w:color="auto" w:fill="auto"/>
            <w:noWrap/>
            <w:vAlign w:val="center"/>
          </w:tcPr>
          <w:p>
            <w:pPr>
              <w:spacing w:line="240" w:lineRule="auto"/>
              <w:jc w:val="center"/>
              <w:rPr>
                <w:rFonts w:hint="eastAsia"/>
                <w:sz w:val="19"/>
              </w:rPr>
            </w:pPr>
            <w:r>
              <w:rPr>
                <w:rFonts w:hint="eastAsia"/>
                <w:sz w:val="19"/>
              </w:rPr>
              <w:t>0</w:t>
            </w:r>
          </w:p>
        </w:tc>
        <w:tc>
          <w:tcPr>
            <w:tcW w:w="423" w:type="pct"/>
            <w:shd w:val="clear" w:color="auto" w:fill="auto"/>
            <w:noWrap/>
            <w:vAlign w:val="center"/>
          </w:tcPr>
          <w:p>
            <w:pPr>
              <w:spacing w:line="240" w:lineRule="auto"/>
              <w:jc w:val="center"/>
              <w:rPr>
                <w:rFonts w:hint="eastAsia"/>
                <w:sz w:val="19"/>
              </w:rPr>
            </w:pPr>
            <w:r>
              <w:rPr>
                <w:rFonts w:hint="eastAsia"/>
                <w:sz w:val="19"/>
              </w:rPr>
              <w:t>2028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29" w:type="pct"/>
            <w:shd w:val="clear" w:color="auto" w:fill="auto"/>
            <w:noWrap/>
            <w:vAlign w:val="center"/>
          </w:tcPr>
          <w:p>
            <w:pPr>
              <w:spacing w:line="240" w:lineRule="auto"/>
              <w:jc w:val="center"/>
              <w:rPr>
                <w:rFonts w:hint="eastAsia"/>
                <w:sz w:val="19"/>
              </w:rPr>
            </w:pPr>
            <w:r>
              <w:rPr>
                <w:rFonts w:hint="eastAsia"/>
                <w:sz w:val="19"/>
              </w:rPr>
              <w:t>2</w:t>
            </w:r>
          </w:p>
        </w:tc>
        <w:tc>
          <w:tcPr>
            <w:tcW w:w="1748" w:type="pct"/>
            <w:shd w:val="clear" w:color="auto" w:fill="auto"/>
            <w:noWrap/>
            <w:vAlign w:val="center"/>
          </w:tcPr>
          <w:p>
            <w:pPr>
              <w:spacing w:line="240" w:lineRule="auto"/>
              <w:jc w:val="center"/>
              <w:rPr>
                <w:rFonts w:hint="eastAsia"/>
                <w:sz w:val="19"/>
              </w:rPr>
            </w:pPr>
            <w:r>
              <w:rPr>
                <w:rFonts w:hint="eastAsia"/>
                <w:sz w:val="19"/>
              </w:rPr>
              <w:t>五里甸子村村委会</w:t>
            </w:r>
          </w:p>
        </w:tc>
        <w:tc>
          <w:tcPr>
            <w:tcW w:w="2143" w:type="pct"/>
            <w:shd w:val="clear" w:color="auto" w:fill="auto"/>
            <w:noWrap/>
            <w:vAlign w:val="center"/>
          </w:tcPr>
          <w:p>
            <w:pPr>
              <w:spacing w:line="240" w:lineRule="auto"/>
              <w:jc w:val="center"/>
              <w:rPr>
                <w:rFonts w:hint="eastAsia"/>
                <w:sz w:val="19"/>
              </w:rPr>
            </w:pPr>
            <w:r>
              <w:rPr>
                <w:rFonts w:hint="eastAsia"/>
                <w:sz w:val="19"/>
              </w:rPr>
              <w:t>桓仁满族自治县五里甸子镇五里甸子村</w:t>
            </w:r>
          </w:p>
        </w:tc>
        <w:tc>
          <w:tcPr>
            <w:tcW w:w="229" w:type="pct"/>
            <w:shd w:val="clear" w:color="auto" w:fill="auto"/>
            <w:noWrap/>
            <w:vAlign w:val="center"/>
          </w:tcPr>
          <w:p>
            <w:pPr>
              <w:spacing w:line="240" w:lineRule="auto"/>
              <w:jc w:val="center"/>
              <w:rPr>
                <w:rFonts w:hint="eastAsia"/>
                <w:sz w:val="19"/>
              </w:rPr>
            </w:pPr>
            <w:r>
              <w:rPr>
                <w:rFonts w:hint="eastAsia"/>
                <w:sz w:val="19"/>
              </w:rPr>
              <w:t>3</w:t>
            </w:r>
          </w:p>
        </w:tc>
        <w:tc>
          <w:tcPr>
            <w:tcW w:w="229" w:type="pct"/>
            <w:shd w:val="clear" w:color="auto" w:fill="auto"/>
            <w:noWrap/>
            <w:vAlign w:val="center"/>
          </w:tcPr>
          <w:p>
            <w:pPr>
              <w:spacing w:line="240" w:lineRule="auto"/>
              <w:jc w:val="center"/>
              <w:rPr>
                <w:rFonts w:hint="eastAsia"/>
                <w:sz w:val="19"/>
              </w:rPr>
            </w:pPr>
            <w:r>
              <w:rPr>
                <w:rFonts w:hint="eastAsia"/>
                <w:sz w:val="19"/>
              </w:rPr>
              <w:t>0</w:t>
            </w:r>
          </w:p>
        </w:tc>
        <w:tc>
          <w:tcPr>
            <w:tcW w:w="423" w:type="pct"/>
            <w:shd w:val="clear" w:color="auto" w:fill="auto"/>
            <w:noWrap/>
            <w:vAlign w:val="center"/>
          </w:tcPr>
          <w:p>
            <w:pPr>
              <w:spacing w:line="240" w:lineRule="auto"/>
              <w:jc w:val="center"/>
              <w:rPr>
                <w:rFonts w:hint="eastAsia"/>
                <w:sz w:val="19"/>
              </w:rPr>
            </w:pPr>
            <w:r>
              <w:rPr>
                <w:rFonts w:hint="eastAsia"/>
                <w:sz w:val="19"/>
              </w:rPr>
              <w:t>2028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29" w:type="pct"/>
            <w:shd w:val="clear" w:color="auto" w:fill="auto"/>
            <w:noWrap/>
            <w:vAlign w:val="center"/>
          </w:tcPr>
          <w:p>
            <w:pPr>
              <w:spacing w:line="240" w:lineRule="auto"/>
              <w:jc w:val="center"/>
              <w:rPr>
                <w:rFonts w:hint="eastAsia"/>
                <w:sz w:val="19"/>
              </w:rPr>
            </w:pPr>
            <w:r>
              <w:rPr>
                <w:rFonts w:hint="eastAsia"/>
                <w:sz w:val="19"/>
              </w:rPr>
              <w:t>3</w:t>
            </w:r>
          </w:p>
        </w:tc>
        <w:tc>
          <w:tcPr>
            <w:tcW w:w="1748" w:type="pct"/>
            <w:shd w:val="clear" w:color="auto" w:fill="auto"/>
            <w:noWrap/>
            <w:vAlign w:val="center"/>
          </w:tcPr>
          <w:p>
            <w:pPr>
              <w:spacing w:line="240" w:lineRule="auto"/>
              <w:jc w:val="center"/>
              <w:rPr>
                <w:rFonts w:hint="eastAsia"/>
                <w:sz w:val="19"/>
              </w:rPr>
            </w:pPr>
            <w:r>
              <w:rPr>
                <w:rFonts w:hint="eastAsia"/>
                <w:sz w:val="19"/>
              </w:rPr>
              <w:t>大川村村部广场</w:t>
            </w:r>
          </w:p>
        </w:tc>
        <w:tc>
          <w:tcPr>
            <w:tcW w:w="2143" w:type="pct"/>
            <w:shd w:val="clear" w:color="auto" w:fill="auto"/>
            <w:noWrap/>
            <w:vAlign w:val="center"/>
          </w:tcPr>
          <w:p>
            <w:pPr>
              <w:spacing w:line="240" w:lineRule="auto"/>
              <w:jc w:val="center"/>
              <w:rPr>
                <w:rFonts w:hint="eastAsia"/>
                <w:sz w:val="19"/>
              </w:rPr>
            </w:pPr>
            <w:r>
              <w:rPr>
                <w:rFonts w:hint="eastAsia"/>
                <w:sz w:val="19"/>
              </w:rPr>
              <w:t>本溪市桓仁满族自治县二长线</w:t>
            </w:r>
          </w:p>
        </w:tc>
        <w:tc>
          <w:tcPr>
            <w:tcW w:w="229" w:type="pct"/>
            <w:shd w:val="clear" w:color="auto" w:fill="auto"/>
            <w:noWrap/>
            <w:vAlign w:val="center"/>
          </w:tcPr>
          <w:p>
            <w:pPr>
              <w:spacing w:line="240" w:lineRule="auto"/>
              <w:jc w:val="center"/>
              <w:rPr>
                <w:rFonts w:hint="eastAsia"/>
                <w:sz w:val="19"/>
              </w:rPr>
            </w:pPr>
            <w:r>
              <w:rPr>
                <w:rFonts w:hint="eastAsia"/>
                <w:sz w:val="19"/>
              </w:rPr>
              <w:t>3</w:t>
            </w:r>
          </w:p>
        </w:tc>
        <w:tc>
          <w:tcPr>
            <w:tcW w:w="229" w:type="pct"/>
            <w:shd w:val="clear" w:color="auto" w:fill="auto"/>
            <w:noWrap/>
            <w:vAlign w:val="center"/>
          </w:tcPr>
          <w:p>
            <w:pPr>
              <w:spacing w:line="240" w:lineRule="auto"/>
              <w:jc w:val="center"/>
              <w:rPr>
                <w:rFonts w:hint="eastAsia"/>
                <w:sz w:val="19"/>
              </w:rPr>
            </w:pPr>
            <w:r>
              <w:rPr>
                <w:rFonts w:hint="eastAsia"/>
                <w:sz w:val="19"/>
              </w:rPr>
              <w:t>0</w:t>
            </w:r>
          </w:p>
        </w:tc>
        <w:tc>
          <w:tcPr>
            <w:tcW w:w="423" w:type="pct"/>
            <w:shd w:val="clear" w:color="auto" w:fill="auto"/>
            <w:noWrap/>
            <w:vAlign w:val="center"/>
          </w:tcPr>
          <w:p>
            <w:pPr>
              <w:spacing w:line="240" w:lineRule="auto"/>
              <w:jc w:val="center"/>
              <w:rPr>
                <w:rFonts w:hint="eastAsia"/>
                <w:sz w:val="19"/>
              </w:rPr>
            </w:pPr>
            <w:r>
              <w:rPr>
                <w:rFonts w:hint="eastAsia"/>
                <w:sz w:val="19"/>
              </w:rPr>
              <w:t>2</w:t>
            </w:r>
            <w:r>
              <w:rPr>
                <w:sz w:val="19"/>
              </w:rPr>
              <w:t>028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29" w:type="pct"/>
            <w:shd w:val="clear" w:color="auto" w:fill="auto"/>
            <w:noWrap/>
            <w:vAlign w:val="center"/>
          </w:tcPr>
          <w:p>
            <w:pPr>
              <w:spacing w:line="240" w:lineRule="auto"/>
              <w:jc w:val="center"/>
              <w:rPr>
                <w:rFonts w:hint="eastAsia"/>
                <w:sz w:val="19"/>
              </w:rPr>
            </w:pPr>
            <w:r>
              <w:rPr>
                <w:rFonts w:hint="eastAsia"/>
                <w:sz w:val="19"/>
              </w:rPr>
              <w:t>4</w:t>
            </w:r>
          </w:p>
        </w:tc>
        <w:tc>
          <w:tcPr>
            <w:tcW w:w="1748" w:type="pct"/>
            <w:shd w:val="clear" w:color="auto" w:fill="auto"/>
            <w:noWrap/>
            <w:vAlign w:val="center"/>
          </w:tcPr>
          <w:p>
            <w:pPr>
              <w:spacing w:line="240" w:lineRule="auto"/>
              <w:jc w:val="center"/>
              <w:rPr>
                <w:rFonts w:hint="eastAsia"/>
                <w:sz w:val="19"/>
              </w:rPr>
            </w:pPr>
            <w:r>
              <w:rPr>
                <w:rFonts w:hint="eastAsia"/>
                <w:sz w:val="19"/>
              </w:rPr>
              <w:t>秀里村村委会</w:t>
            </w:r>
          </w:p>
        </w:tc>
        <w:tc>
          <w:tcPr>
            <w:tcW w:w="2143" w:type="pct"/>
            <w:shd w:val="clear" w:color="auto" w:fill="auto"/>
            <w:noWrap/>
            <w:vAlign w:val="center"/>
          </w:tcPr>
          <w:p>
            <w:pPr>
              <w:spacing w:line="240" w:lineRule="auto"/>
              <w:jc w:val="center"/>
              <w:rPr>
                <w:rFonts w:hint="eastAsia"/>
                <w:sz w:val="19"/>
              </w:rPr>
            </w:pPr>
            <w:r>
              <w:rPr>
                <w:rFonts w:hint="eastAsia"/>
                <w:sz w:val="19"/>
              </w:rPr>
              <w:t>桓仁满族自治县八里甸子镇桓盖线西50米</w:t>
            </w:r>
          </w:p>
        </w:tc>
        <w:tc>
          <w:tcPr>
            <w:tcW w:w="229" w:type="pct"/>
            <w:shd w:val="clear" w:color="auto" w:fill="auto"/>
            <w:noWrap/>
            <w:vAlign w:val="center"/>
          </w:tcPr>
          <w:p>
            <w:pPr>
              <w:spacing w:line="240" w:lineRule="auto"/>
              <w:jc w:val="center"/>
              <w:rPr>
                <w:rFonts w:hint="eastAsia"/>
                <w:sz w:val="19"/>
              </w:rPr>
            </w:pPr>
            <w:r>
              <w:rPr>
                <w:rFonts w:hint="eastAsia"/>
                <w:sz w:val="19"/>
              </w:rPr>
              <w:t>3</w:t>
            </w:r>
          </w:p>
        </w:tc>
        <w:tc>
          <w:tcPr>
            <w:tcW w:w="229" w:type="pct"/>
            <w:shd w:val="clear" w:color="auto" w:fill="auto"/>
            <w:noWrap/>
            <w:vAlign w:val="center"/>
          </w:tcPr>
          <w:p>
            <w:pPr>
              <w:spacing w:line="240" w:lineRule="auto"/>
              <w:jc w:val="center"/>
              <w:rPr>
                <w:rFonts w:hint="eastAsia"/>
                <w:sz w:val="19"/>
              </w:rPr>
            </w:pPr>
            <w:r>
              <w:rPr>
                <w:rFonts w:hint="eastAsia"/>
                <w:sz w:val="19"/>
              </w:rPr>
              <w:t>0</w:t>
            </w:r>
          </w:p>
        </w:tc>
        <w:tc>
          <w:tcPr>
            <w:tcW w:w="423" w:type="pct"/>
            <w:shd w:val="clear" w:color="auto" w:fill="auto"/>
            <w:noWrap/>
            <w:vAlign w:val="center"/>
          </w:tcPr>
          <w:p>
            <w:pPr>
              <w:spacing w:line="240" w:lineRule="auto"/>
              <w:jc w:val="center"/>
              <w:rPr>
                <w:rFonts w:hint="eastAsia"/>
                <w:sz w:val="19"/>
              </w:rPr>
            </w:pPr>
            <w:r>
              <w:rPr>
                <w:rFonts w:hint="eastAsia"/>
                <w:sz w:val="19"/>
              </w:rPr>
              <w:t>2</w:t>
            </w:r>
            <w:r>
              <w:rPr>
                <w:sz w:val="19"/>
              </w:rPr>
              <w:t>028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29" w:type="pct"/>
            <w:shd w:val="clear" w:color="auto" w:fill="auto"/>
            <w:noWrap/>
            <w:vAlign w:val="center"/>
          </w:tcPr>
          <w:p>
            <w:pPr>
              <w:spacing w:line="240" w:lineRule="auto"/>
              <w:jc w:val="center"/>
              <w:rPr>
                <w:rFonts w:hint="eastAsia"/>
                <w:kern w:val="0"/>
                <w:sz w:val="19"/>
              </w:rPr>
            </w:pPr>
            <w:r>
              <w:rPr>
                <w:rFonts w:hint="eastAsia"/>
                <w:kern w:val="0"/>
                <w:sz w:val="19"/>
              </w:rPr>
              <w:t>5</w:t>
            </w:r>
          </w:p>
        </w:tc>
        <w:tc>
          <w:tcPr>
            <w:tcW w:w="1748" w:type="pct"/>
            <w:shd w:val="clear" w:color="auto" w:fill="auto"/>
            <w:noWrap/>
            <w:vAlign w:val="center"/>
          </w:tcPr>
          <w:p>
            <w:pPr>
              <w:spacing w:line="240" w:lineRule="auto"/>
              <w:jc w:val="center"/>
              <w:rPr>
                <w:rFonts w:hint="eastAsia"/>
                <w:sz w:val="19"/>
              </w:rPr>
            </w:pPr>
            <w:r>
              <w:rPr>
                <w:rFonts w:hint="eastAsia"/>
                <w:sz w:val="19"/>
              </w:rPr>
              <w:t>暖河子村</w:t>
            </w:r>
          </w:p>
        </w:tc>
        <w:tc>
          <w:tcPr>
            <w:tcW w:w="2143" w:type="pct"/>
            <w:shd w:val="clear" w:color="auto" w:fill="auto"/>
            <w:noWrap/>
            <w:vAlign w:val="center"/>
          </w:tcPr>
          <w:p>
            <w:pPr>
              <w:spacing w:line="240" w:lineRule="auto"/>
              <w:jc w:val="center"/>
              <w:rPr>
                <w:rFonts w:hint="eastAsia"/>
                <w:sz w:val="19"/>
              </w:rPr>
            </w:pPr>
            <w:r>
              <w:rPr>
                <w:rFonts w:hint="eastAsia"/>
                <w:sz w:val="19"/>
              </w:rPr>
              <w:t>桓仁满族自治县华来镇木暖线东50米</w:t>
            </w:r>
          </w:p>
        </w:tc>
        <w:tc>
          <w:tcPr>
            <w:tcW w:w="229" w:type="pct"/>
            <w:shd w:val="clear" w:color="auto" w:fill="auto"/>
            <w:noWrap/>
            <w:vAlign w:val="center"/>
          </w:tcPr>
          <w:p>
            <w:pPr>
              <w:spacing w:line="240" w:lineRule="auto"/>
              <w:jc w:val="center"/>
              <w:rPr>
                <w:rFonts w:hint="eastAsia"/>
                <w:sz w:val="19"/>
              </w:rPr>
            </w:pPr>
            <w:r>
              <w:rPr>
                <w:rFonts w:hint="eastAsia"/>
                <w:sz w:val="19"/>
              </w:rPr>
              <w:t>3</w:t>
            </w:r>
          </w:p>
        </w:tc>
        <w:tc>
          <w:tcPr>
            <w:tcW w:w="229" w:type="pct"/>
            <w:shd w:val="clear" w:color="auto" w:fill="auto"/>
            <w:noWrap/>
            <w:vAlign w:val="center"/>
          </w:tcPr>
          <w:p>
            <w:pPr>
              <w:spacing w:line="240" w:lineRule="auto"/>
              <w:jc w:val="center"/>
              <w:rPr>
                <w:rFonts w:hint="eastAsia"/>
                <w:kern w:val="0"/>
                <w:sz w:val="19"/>
              </w:rPr>
            </w:pPr>
          </w:p>
        </w:tc>
        <w:tc>
          <w:tcPr>
            <w:tcW w:w="423" w:type="pct"/>
            <w:shd w:val="clear" w:color="auto" w:fill="auto"/>
            <w:noWrap/>
            <w:vAlign w:val="center"/>
          </w:tcPr>
          <w:p>
            <w:pPr>
              <w:spacing w:line="240" w:lineRule="auto"/>
              <w:jc w:val="center"/>
              <w:rPr>
                <w:rFonts w:hint="eastAsia"/>
                <w:kern w:val="0"/>
                <w:sz w:val="19"/>
              </w:rPr>
            </w:pPr>
            <w:r>
              <w:rPr>
                <w:rFonts w:hint="eastAsia"/>
                <w:kern w:val="0"/>
                <w:sz w:val="19"/>
              </w:rPr>
              <w:t>2</w:t>
            </w:r>
            <w:r>
              <w:rPr>
                <w:kern w:val="0"/>
                <w:sz w:val="19"/>
              </w:rPr>
              <w:t>028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29" w:type="pct"/>
            <w:shd w:val="clear" w:color="auto" w:fill="auto"/>
            <w:noWrap/>
            <w:vAlign w:val="center"/>
          </w:tcPr>
          <w:p>
            <w:pPr>
              <w:spacing w:line="240" w:lineRule="auto"/>
              <w:jc w:val="center"/>
              <w:rPr>
                <w:rFonts w:hint="eastAsia"/>
                <w:sz w:val="19"/>
              </w:rPr>
            </w:pPr>
            <w:r>
              <w:rPr>
                <w:rFonts w:hint="eastAsia"/>
                <w:sz w:val="19"/>
              </w:rPr>
              <w:t>6</w:t>
            </w:r>
          </w:p>
        </w:tc>
        <w:tc>
          <w:tcPr>
            <w:tcW w:w="1748" w:type="pct"/>
            <w:shd w:val="clear" w:color="auto" w:fill="auto"/>
            <w:noWrap/>
            <w:vAlign w:val="center"/>
          </w:tcPr>
          <w:p>
            <w:pPr>
              <w:spacing w:line="240" w:lineRule="auto"/>
              <w:jc w:val="center"/>
              <w:rPr>
                <w:rFonts w:hint="eastAsia"/>
                <w:sz w:val="19"/>
              </w:rPr>
            </w:pPr>
            <w:r>
              <w:rPr>
                <w:rFonts w:hint="eastAsia"/>
                <w:sz w:val="19"/>
              </w:rPr>
              <w:t>桓仁满</w:t>
            </w:r>
            <w:r>
              <w:rPr>
                <w:rFonts w:hint="eastAsia"/>
                <w:sz w:val="19"/>
                <w:lang w:eastAsia="zh-CN"/>
              </w:rPr>
              <w:t>族</w:t>
            </w:r>
            <w:r>
              <w:rPr>
                <w:rFonts w:hint="eastAsia"/>
                <w:sz w:val="19"/>
              </w:rPr>
              <w:t>自治县人防地震局</w:t>
            </w:r>
          </w:p>
        </w:tc>
        <w:tc>
          <w:tcPr>
            <w:tcW w:w="2143" w:type="pct"/>
            <w:shd w:val="clear" w:color="auto" w:fill="auto"/>
            <w:noWrap/>
            <w:vAlign w:val="center"/>
          </w:tcPr>
          <w:p>
            <w:pPr>
              <w:spacing w:line="240" w:lineRule="auto"/>
              <w:jc w:val="center"/>
              <w:rPr>
                <w:rFonts w:hint="eastAsia"/>
                <w:sz w:val="19"/>
              </w:rPr>
            </w:pPr>
            <w:r>
              <w:rPr>
                <w:rFonts w:hint="eastAsia"/>
                <w:sz w:val="19"/>
              </w:rPr>
              <w:t>桓仁满</w:t>
            </w:r>
            <w:r>
              <w:rPr>
                <w:rFonts w:hint="eastAsia"/>
                <w:sz w:val="19"/>
                <w:lang w:eastAsia="zh-CN"/>
              </w:rPr>
              <w:t>族</w:t>
            </w:r>
            <w:r>
              <w:rPr>
                <w:rFonts w:hint="eastAsia"/>
                <w:sz w:val="19"/>
              </w:rPr>
              <w:t>自治县人防地震局</w:t>
            </w:r>
          </w:p>
        </w:tc>
        <w:tc>
          <w:tcPr>
            <w:tcW w:w="229" w:type="pct"/>
            <w:shd w:val="clear" w:color="auto" w:fill="auto"/>
            <w:noWrap/>
            <w:vAlign w:val="center"/>
          </w:tcPr>
          <w:p>
            <w:pPr>
              <w:spacing w:line="240" w:lineRule="auto"/>
              <w:jc w:val="center"/>
              <w:rPr>
                <w:rFonts w:hint="eastAsia"/>
                <w:sz w:val="19"/>
              </w:rPr>
            </w:pPr>
            <w:r>
              <w:rPr>
                <w:rFonts w:hint="eastAsia"/>
                <w:sz w:val="19"/>
              </w:rPr>
              <w:t>12</w:t>
            </w:r>
          </w:p>
        </w:tc>
        <w:tc>
          <w:tcPr>
            <w:tcW w:w="229" w:type="pct"/>
            <w:shd w:val="clear" w:color="auto" w:fill="auto"/>
            <w:noWrap/>
            <w:vAlign w:val="center"/>
          </w:tcPr>
          <w:p>
            <w:pPr>
              <w:spacing w:line="240" w:lineRule="auto"/>
              <w:jc w:val="center"/>
              <w:rPr>
                <w:rFonts w:hint="eastAsia"/>
                <w:sz w:val="19"/>
              </w:rPr>
            </w:pPr>
            <w:r>
              <w:rPr>
                <w:rFonts w:hint="eastAsia"/>
                <w:sz w:val="19"/>
              </w:rPr>
              <w:t>0</w:t>
            </w:r>
          </w:p>
        </w:tc>
        <w:tc>
          <w:tcPr>
            <w:tcW w:w="423" w:type="pct"/>
            <w:shd w:val="clear" w:color="auto" w:fill="auto"/>
            <w:noWrap/>
            <w:vAlign w:val="center"/>
          </w:tcPr>
          <w:p>
            <w:pPr>
              <w:spacing w:line="240" w:lineRule="auto"/>
              <w:jc w:val="center"/>
              <w:rPr>
                <w:rFonts w:hint="eastAsia"/>
                <w:sz w:val="19"/>
              </w:rPr>
            </w:pPr>
            <w:r>
              <w:rPr>
                <w:rFonts w:hint="eastAsia"/>
                <w:sz w:val="19"/>
              </w:rPr>
              <w:t>2028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29" w:type="pct"/>
            <w:shd w:val="clear" w:color="auto" w:fill="auto"/>
            <w:noWrap/>
            <w:vAlign w:val="center"/>
          </w:tcPr>
          <w:p>
            <w:pPr>
              <w:spacing w:line="240" w:lineRule="auto"/>
              <w:jc w:val="center"/>
              <w:rPr>
                <w:rFonts w:hint="eastAsia"/>
                <w:sz w:val="19"/>
              </w:rPr>
            </w:pPr>
            <w:r>
              <w:rPr>
                <w:rFonts w:hint="eastAsia"/>
                <w:sz w:val="19"/>
              </w:rPr>
              <w:t>7</w:t>
            </w:r>
          </w:p>
        </w:tc>
        <w:tc>
          <w:tcPr>
            <w:tcW w:w="1748" w:type="pct"/>
            <w:shd w:val="clear" w:color="auto" w:fill="auto"/>
            <w:noWrap/>
            <w:vAlign w:val="center"/>
          </w:tcPr>
          <w:p>
            <w:pPr>
              <w:spacing w:line="240" w:lineRule="auto"/>
              <w:jc w:val="center"/>
              <w:rPr>
                <w:rFonts w:hint="eastAsia"/>
                <w:sz w:val="19"/>
              </w:rPr>
            </w:pPr>
            <w:r>
              <w:rPr>
                <w:rFonts w:hint="eastAsia"/>
                <w:sz w:val="19"/>
              </w:rPr>
              <w:t>雅河客运站对面工业园区</w:t>
            </w:r>
          </w:p>
        </w:tc>
        <w:tc>
          <w:tcPr>
            <w:tcW w:w="2143" w:type="pct"/>
            <w:shd w:val="clear" w:color="auto" w:fill="auto"/>
            <w:noWrap/>
            <w:vAlign w:val="center"/>
          </w:tcPr>
          <w:p>
            <w:pPr>
              <w:spacing w:line="240" w:lineRule="auto"/>
              <w:jc w:val="center"/>
              <w:rPr>
                <w:rFonts w:hint="eastAsia"/>
                <w:sz w:val="19"/>
              </w:rPr>
            </w:pPr>
            <w:r>
              <w:rPr>
                <w:rFonts w:hint="eastAsia"/>
                <w:sz w:val="19"/>
              </w:rPr>
              <w:t>雅河客运站对面工业园区</w:t>
            </w:r>
          </w:p>
        </w:tc>
        <w:tc>
          <w:tcPr>
            <w:tcW w:w="229" w:type="pct"/>
            <w:shd w:val="clear" w:color="auto" w:fill="auto"/>
            <w:noWrap/>
            <w:vAlign w:val="center"/>
          </w:tcPr>
          <w:p>
            <w:pPr>
              <w:spacing w:line="240" w:lineRule="auto"/>
              <w:jc w:val="center"/>
              <w:rPr>
                <w:rFonts w:hint="eastAsia"/>
                <w:sz w:val="19"/>
              </w:rPr>
            </w:pPr>
            <w:r>
              <w:rPr>
                <w:rFonts w:hint="eastAsia"/>
                <w:sz w:val="19"/>
              </w:rPr>
              <w:t>5</w:t>
            </w:r>
          </w:p>
        </w:tc>
        <w:tc>
          <w:tcPr>
            <w:tcW w:w="229" w:type="pct"/>
            <w:shd w:val="clear" w:color="auto" w:fill="auto"/>
            <w:noWrap/>
            <w:vAlign w:val="center"/>
          </w:tcPr>
          <w:p>
            <w:pPr>
              <w:spacing w:line="240" w:lineRule="auto"/>
              <w:jc w:val="center"/>
              <w:rPr>
                <w:rFonts w:hint="eastAsia"/>
                <w:sz w:val="19"/>
              </w:rPr>
            </w:pPr>
            <w:r>
              <w:rPr>
                <w:rFonts w:hint="eastAsia"/>
                <w:sz w:val="19"/>
              </w:rPr>
              <w:t>0</w:t>
            </w:r>
          </w:p>
        </w:tc>
        <w:tc>
          <w:tcPr>
            <w:tcW w:w="423" w:type="pct"/>
            <w:shd w:val="clear" w:color="auto" w:fill="auto"/>
            <w:noWrap/>
            <w:vAlign w:val="center"/>
          </w:tcPr>
          <w:p>
            <w:pPr>
              <w:spacing w:line="240" w:lineRule="auto"/>
              <w:jc w:val="center"/>
              <w:rPr>
                <w:rFonts w:hint="eastAsia"/>
                <w:sz w:val="19"/>
              </w:rPr>
            </w:pPr>
            <w:r>
              <w:rPr>
                <w:rFonts w:hint="eastAsia"/>
                <w:sz w:val="19"/>
              </w:rPr>
              <w:t>2028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29" w:type="pct"/>
            <w:shd w:val="clear" w:color="auto" w:fill="auto"/>
            <w:noWrap/>
            <w:vAlign w:val="center"/>
          </w:tcPr>
          <w:p>
            <w:pPr>
              <w:spacing w:line="240" w:lineRule="auto"/>
              <w:jc w:val="center"/>
              <w:rPr>
                <w:rFonts w:hint="eastAsia"/>
                <w:sz w:val="19"/>
              </w:rPr>
            </w:pPr>
            <w:r>
              <w:rPr>
                <w:rFonts w:hint="eastAsia"/>
                <w:sz w:val="19"/>
              </w:rPr>
              <w:t>8</w:t>
            </w:r>
          </w:p>
        </w:tc>
        <w:tc>
          <w:tcPr>
            <w:tcW w:w="1748" w:type="pct"/>
            <w:shd w:val="clear" w:color="auto" w:fill="auto"/>
            <w:noWrap/>
            <w:vAlign w:val="center"/>
          </w:tcPr>
          <w:p>
            <w:pPr>
              <w:spacing w:line="240" w:lineRule="auto"/>
              <w:jc w:val="center"/>
              <w:rPr>
                <w:rFonts w:hint="eastAsia"/>
                <w:sz w:val="19"/>
              </w:rPr>
            </w:pPr>
            <w:r>
              <w:rPr>
                <w:rFonts w:hint="eastAsia"/>
                <w:sz w:val="19"/>
              </w:rPr>
              <w:t>桓仁县西侧桥头附近</w:t>
            </w:r>
          </w:p>
        </w:tc>
        <w:tc>
          <w:tcPr>
            <w:tcW w:w="2143" w:type="pct"/>
            <w:shd w:val="clear" w:color="auto" w:fill="auto"/>
            <w:noWrap/>
            <w:vAlign w:val="center"/>
          </w:tcPr>
          <w:p>
            <w:pPr>
              <w:spacing w:line="240" w:lineRule="auto"/>
              <w:jc w:val="center"/>
              <w:rPr>
                <w:rFonts w:hint="eastAsia"/>
                <w:sz w:val="19"/>
              </w:rPr>
            </w:pPr>
            <w:r>
              <w:rPr>
                <w:rFonts w:hint="eastAsia"/>
                <w:sz w:val="19"/>
              </w:rPr>
              <w:t>桓仁县西侧桥头附近</w:t>
            </w:r>
          </w:p>
        </w:tc>
        <w:tc>
          <w:tcPr>
            <w:tcW w:w="229" w:type="pct"/>
            <w:shd w:val="clear" w:color="auto" w:fill="auto"/>
            <w:noWrap/>
            <w:vAlign w:val="center"/>
          </w:tcPr>
          <w:p>
            <w:pPr>
              <w:spacing w:line="240" w:lineRule="auto"/>
              <w:jc w:val="center"/>
              <w:rPr>
                <w:rFonts w:hint="eastAsia"/>
                <w:sz w:val="19"/>
              </w:rPr>
            </w:pPr>
            <w:r>
              <w:rPr>
                <w:rFonts w:hint="eastAsia"/>
                <w:sz w:val="19"/>
              </w:rPr>
              <w:t>5</w:t>
            </w:r>
          </w:p>
        </w:tc>
        <w:tc>
          <w:tcPr>
            <w:tcW w:w="229" w:type="pct"/>
            <w:shd w:val="clear" w:color="auto" w:fill="auto"/>
            <w:noWrap/>
            <w:vAlign w:val="center"/>
          </w:tcPr>
          <w:p>
            <w:pPr>
              <w:spacing w:line="240" w:lineRule="auto"/>
              <w:jc w:val="center"/>
              <w:rPr>
                <w:rFonts w:hint="eastAsia"/>
                <w:sz w:val="19"/>
              </w:rPr>
            </w:pPr>
            <w:r>
              <w:rPr>
                <w:rFonts w:hint="eastAsia"/>
                <w:sz w:val="19"/>
              </w:rPr>
              <w:t>0</w:t>
            </w:r>
          </w:p>
        </w:tc>
        <w:tc>
          <w:tcPr>
            <w:tcW w:w="423" w:type="pct"/>
            <w:shd w:val="clear" w:color="auto" w:fill="auto"/>
            <w:noWrap/>
            <w:vAlign w:val="center"/>
          </w:tcPr>
          <w:p>
            <w:pPr>
              <w:spacing w:line="240" w:lineRule="auto"/>
              <w:jc w:val="center"/>
              <w:rPr>
                <w:rFonts w:hint="eastAsia"/>
                <w:sz w:val="19"/>
              </w:rPr>
            </w:pPr>
            <w:r>
              <w:rPr>
                <w:rFonts w:hint="eastAsia"/>
                <w:sz w:val="19"/>
              </w:rPr>
              <w:t>2028</w:t>
            </w:r>
          </w:p>
        </w:tc>
      </w:tr>
    </w:tbl>
    <w:p>
      <w:pPr>
        <w:pStyle w:val="6"/>
        <w:numPr>
          <w:ilvl w:val="4"/>
          <w:numId w:val="16"/>
        </w:numPr>
        <w:ind w:firstLine="560"/>
        <w:rPr>
          <w:rFonts w:hint="eastAsia"/>
        </w:rPr>
      </w:pPr>
      <w:r>
        <w:rPr>
          <w:rFonts w:hint="eastAsia" w:cs="仿宋_GB2312"/>
          <w:szCs w:val="28"/>
        </w:rPr>
        <w:t>桓仁满族自治县向阳乡漫谷度假小镇景区停车场充电设施规划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8</w:t>
      </w:r>
      <w:r>
        <w:rPr>
          <w:rFonts w:hint="eastAsia" w:cs="仿宋_GB2312"/>
          <w:szCs w:val="28"/>
        </w:rPr>
        <w:t>年</w:t>
      </w:r>
    </w:p>
    <w:p>
      <w:pPr>
        <w:spacing w:line="360" w:lineRule="auto"/>
        <w:ind w:firstLine="560" w:firstLineChars="200"/>
        <w:rPr>
          <w:rFonts w:hint="eastAsia" w:cs="仿宋_GB2312"/>
          <w:color w:val="FF0000"/>
          <w:szCs w:val="28"/>
        </w:rPr>
      </w:pPr>
      <w:r>
        <w:rPr>
          <w:rFonts w:hint="eastAsia" w:cs="仿宋_GB2312"/>
          <w:szCs w:val="28"/>
        </w:rPr>
        <w:t>建设必要性：为了满足桓仁满族自治县回和线以及景区内的电动汽车充电需求。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6</w:t>
      </w:r>
      <w:r>
        <w:rPr>
          <w:rFonts w:hint="eastAsia" w:cs="仿宋_GB2312"/>
          <w:szCs w:val="28"/>
        </w:rPr>
        <w:t>台快充</w:t>
      </w:r>
      <w:r>
        <w:rPr>
          <w:rFonts w:cs="仿宋_GB2312"/>
          <w:szCs w:val="28"/>
        </w:rPr>
        <w:t>60</w:t>
      </w:r>
      <w:r>
        <w:rPr>
          <w:rFonts w:hint="eastAsia" w:cs="仿宋_GB2312"/>
          <w:szCs w:val="28"/>
        </w:rPr>
        <w:t>kW充电桩。</w:t>
      </w:r>
    </w:p>
    <w:p>
      <w:pPr>
        <w:pStyle w:val="217"/>
        <w:spacing w:line="240" w:lineRule="auto"/>
        <w:rPr>
          <w:rFonts w:ascii="仿宋_GB2312" w:hAnsi="仿宋_GB2312" w:cs="仿宋_GB2312"/>
          <w:szCs w:val="21"/>
        </w:rPr>
      </w:pPr>
      <w:r>
        <w:rPr>
          <w:rFonts w:ascii="仿宋_GB2312" w:hAnsi="仿宋_GB2312" w:cs="仿宋_GB2312"/>
          <w:szCs w:val="21"/>
        </w:rPr>
        <w:drawing>
          <wp:inline distT="0" distB="0" distL="0" distR="0">
            <wp:extent cx="5274310" cy="1716405"/>
            <wp:effectExtent l="0" t="0" r="2540" b="0"/>
            <wp:docPr id="19323392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339296" name="图片 1"/>
                    <pic:cNvPicPr>
                      <a:picLocks noChangeAspect="1"/>
                    </pic:cNvPicPr>
                  </pic:nvPicPr>
                  <pic:blipFill>
                    <a:blip r:embed="rId49"/>
                    <a:stretch>
                      <a:fillRect/>
                    </a:stretch>
                  </pic:blipFill>
                  <pic:spPr>
                    <a:xfrm>
                      <a:off x="0" y="0"/>
                      <a:ext cx="5274310" cy="1716405"/>
                    </a:xfrm>
                    <a:prstGeom prst="rect">
                      <a:avLst/>
                    </a:prstGeom>
                  </pic:spPr>
                </pic:pic>
              </a:graphicData>
            </a:graphic>
          </wp:inline>
        </w:drawing>
      </w:r>
    </w:p>
    <w:p>
      <w:pPr>
        <w:pStyle w:val="8"/>
      </w:pPr>
      <w:r>
        <w:rPr>
          <w:rFonts w:hint="eastAsia"/>
        </w:rPr>
        <w:t>桓仁满族自治县向阳乡漫谷度假小镇景区停</w:t>
      </w:r>
      <w:r>
        <w:rPr>
          <w:rFonts w:hint="eastAsia" w:cs="仿宋_GB2312"/>
          <w:szCs w:val="28"/>
        </w:rPr>
        <w:t>车场</w:t>
      </w:r>
      <w:r>
        <w:rPr>
          <w:rFonts w:hint="eastAsia"/>
        </w:rPr>
        <w:t>卫星地理图及现场图</w:t>
      </w:r>
    </w:p>
    <w:p>
      <w:pPr>
        <w:pStyle w:val="6"/>
        <w:numPr>
          <w:ilvl w:val="4"/>
          <w:numId w:val="16"/>
        </w:numPr>
        <w:ind w:firstLine="560"/>
        <w:rPr>
          <w:rFonts w:hint="eastAsia"/>
        </w:rPr>
      </w:pPr>
      <w:r>
        <w:rPr>
          <w:rFonts w:hint="eastAsia" w:cs="仿宋_GB2312"/>
          <w:szCs w:val="28"/>
        </w:rPr>
        <w:t>桓仁满族自治县五里甸子村村委会停车场充电设施规划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8</w:t>
      </w:r>
      <w:r>
        <w:rPr>
          <w:rFonts w:hint="eastAsia" w:cs="仿宋_GB2312"/>
          <w:szCs w:val="28"/>
        </w:rPr>
        <w:t>年</w:t>
      </w:r>
    </w:p>
    <w:p>
      <w:pPr>
        <w:spacing w:line="360" w:lineRule="auto"/>
        <w:ind w:firstLine="560" w:firstLineChars="200"/>
        <w:rPr>
          <w:rFonts w:hint="eastAsia" w:cs="仿宋_GB2312"/>
          <w:color w:val="FF0000"/>
          <w:szCs w:val="28"/>
        </w:rPr>
      </w:pPr>
      <w:r>
        <w:rPr>
          <w:rFonts w:hint="eastAsia" w:cs="仿宋_GB2312"/>
          <w:szCs w:val="28"/>
        </w:rPr>
        <w:t>建设必要性：为了满足桓仁满族自治县集本线以及周边居民的电动汽车充电需求。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3</w:t>
      </w:r>
      <w:r>
        <w:rPr>
          <w:rFonts w:hint="eastAsia" w:cs="仿宋_GB2312"/>
          <w:szCs w:val="28"/>
        </w:rPr>
        <w:t>台快充</w:t>
      </w:r>
      <w:r>
        <w:rPr>
          <w:rFonts w:cs="仿宋_GB2312"/>
          <w:szCs w:val="28"/>
        </w:rPr>
        <w:t>60</w:t>
      </w:r>
      <w:r>
        <w:rPr>
          <w:rFonts w:hint="eastAsia" w:cs="仿宋_GB2312"/>
          <w:szCs w:val="28"/>
        </w:rPr>
        <w:t>kW充电桩。</w:t>
      </w:r>
    </w:p>
    <w:p>
      <w:pPr>
        <w:pStyle w:val="217"/>
        <w:spacing w:line="240" w:lineRule="auto"/>
        <w:ind w:firstLine="561"/>
        <w:rPr>
          <w:rFonts w:ascii="仿宋_GB2312" w:hAnsi="仿宋_GB2312" w:cs="仿宋_GB2312"/>
          <w:szCs w:val="21"/>
        </w:rPr>
      </w:pPr>
      <w:r>
        <w:rPr>
          <w:rFonts w:ascii="仿宋_GB2312" w:hAnsi="仿宋_GB2312" w:cs="仿宋_GB2312"/>
          <w:szCs w:val="21"/>
        </w:rPr>
        <w:drawing>
          <wp:inline distT="0" distB="0" distL="0" distR="0">
            <wp:extent cx="3451860" cy="2293620"/>
            <wp:effectExtent l="0" t="0" r="0" b="0"/>
            <wp:docPr id="7785940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594052" name="图片 1"/>
                    <pic:cNvPicPr>
                      <a:picLocks noChangeAspect="1"/>
                    </pic:cNvPicPr>
                  </pic:nvPicPr>
                  <pic:blipFill>
                    <a:blip r:embed="rId50"/>
                    <a:stretch>
                      <a:fillRect/>
                    </a:stretch>
                  </pic:blipFill>
                  <pic:spPr>
                    <a:xfrm>
                      <a:off x="0" y="0"/>
                      <a:ext cx="3452159" cy="2293819"/>
                    </a:xfrm>
                    <a:prstGeom prst="rect">
                      <a:avLst/>
                    </a:prstGeom>
                  </pic:spPr>
                </pic:pic>
              </a:graphicData>
            </a:graphic>
          </wp:inline>
        </w:drawing>
      </w:r>
    </w:p>
    <w:p>
      <w:pPr>
        <w:pStyle w:val="8"/>
      </w:pPr>
      <w:r>
        <w:rPr>
          <w:rFonts w:hint="eastAsia"/>
        </w:rPr>
        <w:t>桓仁满族自治县向阳乡漫谷度假小镇景区停</w:t>
      </w:r>
      <w:r>
        <w:rPr>
          <w:rFonts w:hint="eastAsia" w:cs="仿宋_GB2312"/>
          <w:szCs w:val="28"/>
        </w:rPr>
        <w:t>车场</w:t>
      </w:r>
      <w:r>
        <w:rPr>
          <w:rFonts w:hint="eastAsia"/>
        </w:rPr>
        <w:t>卫星地理图</w:t>
      </w:r>
    </w:p>
    <w:p>
      <w:pPr>
        <w:pStyle w:val="6"/>
        <w:numPr>
          <w:ilvl w:val="4"/>
          <w:numId w:val="16"/>
        </w:numPr>
        <w:ind w:firstLine="560"/>
        <w:rPr>
          <w:rFonts w:hint="eastAsia"/>
        </w:rPr>
      </w:pPr>
      <w:r>
        <w:rPr>
          <w:rFonts w:hint="eastAsia" w:cs="仿宋_GB2312"/>
          <w:szCs w:val="28"/>
        </w:rPr>
        <w:t>桓仁满族自治县黑沟乡大川村村部广场停车场充电设施规划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8</w:t>
      </w:r>
      <w:r>
        <w:rPr>
          <w:rFonts w:hint="eastAsia" w:cs="仿宋_GB2312"/>
          <w:szCs w:val="28"/>
        </w:rPr>
        <w:t>年</w:t>
      </w:r>
    </w:p>
    <w:p>
      <w:pPr>
        <w:spacing w:line="360" w:lineRule="auto"/>
        <w:ind w:firstLine="560" w:firstLineChars="200"/>
        <w:rPr>
          <w:rFonts w:hint="eastAsia" w:cs="仿宋_GB2312"/>
          <w:color w:val="FF0000"/>
          <w:szCs w:val="28"/>
        </w:rPr>
      </w:pPr>
      <w:r>
        <w:rPr>
          <w:rFonts w:hint="eastAsia" w:cs="仿宋_GB2312"/>
          <w:szCs w:val="28"/>
        </w:rPr>
        <w:t>建设必要性：为了满足桓仁满族自治县柞本线以及周边居民的电动汽车充电需求。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3</w:t>
      </w:r>
      <w:r>
        <w:rPr>
          <w:rFonts w:hint="eastAsia" w:cs="仿宋_GB2312"/>
          <w:szCs w:val="28"/>
        </w:rPr>
        <w:t>台快充</w:t>
      </w:r>
      <w:r>
        <w:rPr>
          <w:rFonts w:cs="仿宋_GB2312"/>
          <w:szCs w:val="28"/>
        </w:rPr>
        <w:t>60</w:t>
      </w:r>
      <w:r>
        <w:rPr>
          <w:rFonts w:hint="eastAsia" w:cs="仿宋_GB2312"/>
          <w:szCs w:val="28"/>
        </w:rPr>
        <w:t>kW充电桩。</w:t>
      </w:r>
    </w:p>
    <w:p>
      <w:pPr>
        <w:pStyle w:val="217"/>
        <w:spacing w:line="240" w:lineRule="auto"/>
        <w:rPr>
          <w:rFonts w:ascii="仿宋_GB2312" w:hAnsi="仿宋_GB2312" w:cs="仿宋_GB2312"/>
          <w:szCs w:val="21"/>
        </w:rPr>
      </w:pPr>
      <w:r>
        <w:rPr>
          <w:rFonts w:ascii="仿宋_GB2312" w:hAnsi="仿宋_GB2312" w:cs="仿宋_GB2312"/>
          <w:szCs w:val="21"/>
        </w:rPr>
        <w:drawing>
          <wp:inline distT="0" distB="0" distL="0" distR="0">
            <wp:extent cx="5274310" cy="1741170"/>
            <wp:effectExtent l="0" t="0" r="2540" b="0"/>
            <wp:docPr id="11696862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686283" name="图片 1"/>
                    <pic:cNvPicPr>
                      <a:picLocks noChangeAspect="1"/>
                    </pic:cNvPicPr>
                  </pic:nvPicPr>
                  <pic:blipFill>
                    <a:blip r:embed="rId51"/>
                    <a:stretch>
                      <a:fillRect/>
                    </a:stretch>
                  </pic:blipFill>
                  <pic:spPr>
                    <a:xfrm>
                      <a:off x="0" y="0"/>
                      <a:ext cx="5274310" cy="1741170"/>
                    </a:xfrm>
                    <a:prstGeom prst="rect">
                      <a:avLst/>
                    </a:prstGeom>
                  </pic:spPr>
                </pic:pic>
              </a:graphicData>
            </a:graphic>
          </wp:inline>
        </w:drawing>
      </w:r>
    </w:p>
    <w:p>
      <w:pPr>
        <w:pStyle w:val="8"/>
      </w:pPr>
      <w:r>
        <w:rPr>
          <w:rFonts w:hint="eastAsia"/>
        </w:rPr>
        <w:t>桓仁满族自治县黑沟乡大川村村部广场停车</w:t>
      </w:r>
      <w:r>
        <w:rPr>
          <w:rFonts w:hint="eastAsia" w:cs="仿宋_GB2312"/>
          <w:szCs w:val="28"/>
        </w:rPr>
        <w:t>场</w:t>
      </w:r>
      <w:r>
        <w:rPr>
          <w:rFonts w:hint="eastAsia"/>
        </w:rPr>
        <w:t>卫星地理图及现场图</w:t>
      </w:r>
    </w:p>
    <w:p>
      <w:pPr>
        <w:pStyle w:val="6"/>
        <w:numPr>
          <w:ilvl w:val="4"/>
          <w:numId w:val="16"/>
        </w:numPr>
        <w:ind w:firstLine="560"/>
        <w:rPr>
          <w:rFonts w:hint="eastAsia"/>
        </w:rPr>
      </w:pPr>
      <w:r>
        <w:rPr>
          <w:rFonts w:hint="eastAsia" w:cs="仿宋_GB2312"/>
          <w:szCs w:val="28"/>
        </w:rPr>
        <w:t>桓仁满族自治县八里甸子镇秀里村村委会停车场充电设施规划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8</w:t>
      </w:r>
      <w:r>
        <w:rPr>
          <w:rFonts w:hint="eastAsia" w:cs="仿宋_GB2312"/>
          <w:szCs w:val="28"/>
        </w:rPr>
        <w:t>年</w:t>
      </w:r>
    </w:p>
    <w:p>
      <w:pPr>
        <w:spacing w:line="360" w:lineRule="auto"/>
        <w:ind w:firstLine="560" w:firstLineChars="200"/>
        <w:rPr>
          <w:rFonts w:hint="eastAsia" w:cs="仿宋_GB2312"/>
          <w:color w:val="FF0000"/>
          <w:szCs w:val="28"/>
        </w:rPr>
      </w:pPr>
      <w:r>
        <w:rPr>
          <w:rFonts w:hint="eastAsia" w:cs="仿宋_GB2312"/>
          <w:szCs w:val="28"/>
        </w:rPr>
        <w:t>建设必要性：为了满足桓仁满族自治县桓永线以及周边居民的电动汽车充电需求。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3</w:t>
      </w:r>
      <w:r>
        <w:rPr>
          <w:rFonts w:hint="eastAsia" w:cs="仿宋_GB2312"/>
          <w:szCs w:val="28"/>
        </w:rPr>
        <w:t>台快充</w:t>
      </w:r>
      <w:r>
        <w:rPr>
          <w:rFonts w:cs="仿宋_GB2312"/>
          <w:szCs w:val="28"/>
        </w:rPr>
        <w:t>60</w:t>
      </w:r>
      <w:r>
        <w:rPr>
          <w:rFonts w:hint="eastAsia" w:cs="仿宋_GB2312"/>
          <w:szCs w:val="28"/>
        </w:rPr>
        <w:t>kW充电桩。</w:t>
      </w:r>
    </w:p>
    <w:p>
      <w:pPr>
        <w:pStyle w:val="217"/>
        <w:spacing w:line="240" w:lineRule="auto"/>
        <w:ind w:firstLine="561"/>
        <w:rPr>
          <w:rFonts w:ascii="仿宋_GB2312" w:hAnsi="仿宋_GB2312" w:cs="仿宋_GB2312"/>
          <w:szCs w:val="21"/>
        </w:rPr>
      </w:pPr>
      <w:r>
        <w:rPr>
          <w:rFonts w:ascii="仿宋_GB2312" w:hAnsi="仿宋_GB2312" w:cs="仿宋_GB2312"/>
          <w:szCs w:val="21"/>
        </w:rPr>
        <w:drawing>
          <wp:inline distT="0" distB="0" distL="0" distR="0">
            <wp:extent cx="3429000" cy="2293620"/>
            <wp:effectExtent l="0" t="0" r="0" b="0"/>
            <wp:docPr id="6479654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965480" name="图片 1"/>
                    <pic:cNvPicPr>
                      <a:picLocks noChangeAspect="1"/>
                    </pic:cNvPicPr>
                  </pic:nvPicPr>
                  <pic:blipFill>
                    <a:blip r:embed="rId52"/>
                    <a:stretch>
                      <a:fillRect/>
                    </a:stretch>
                  </pic:blipFill>
                  <pic:spPr>
                    <a:xfrm>
                      <a:off x="0" y="0"/>
                      <a:ext cx="3429297" cy="2293819"/>
                    </a:xfrm>
                    <a:prstGeom prst="rect">
                      <a:avLst/>
                    </a:prstGeom>
                  </pic:spPr>
                </pic:pic>
              </a:graphicData>
            </a:graphic>
          </wp:inline>
        </w:drawing>
      </w:r>
    </w:p>
    <w:p>
      <w:pPr>
        <w:pStyle w:val="8"/>
      </w:pPr>
      <w:r>
        <w:rPr>
          <w:rFonts w:hint="eastAsia" w:cs="仿宋_GB2312"/>
          <w:szCs w:val="28"/>
        </w:rPr>
        <w:t>桓仁满族自治县</w:t>
      </w:r>
      <w:r>
        <w:rPr>
          <w:rFonts w:hint="eastAsia"/>
        </w:rPr>
        <w:t>八里甸子镇秀里村村委会停车场卫星地理图</w:t>
      </w:r>
    </w:p>
    <w:p>
      <w:pPr>
        <w:pStyle w:val="6"/>
        <w:numPr>
          <w:ilvl w:val="4"/>
          <w:numId w:val="16"/>
        </w:numPr>
        <w:ind w:firstLine="560"/>
        <w:rPr>
          <w:rFonts w:hint="eastAsia"/>
        </w:rPr>
      </w:pPr>
      <w:r>
        <w:rPr>
          <w:rFonts w:hint="eastAsia" w:cs="仿宋_GB2312"/>
          <w:szCs w:val="28"/>
        </w:rPr>
        <w:t>桓仁满族自治县华来镇暖河子村停车场充电设施规划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8</w:t>
      </w:r>
      <w:r>
        <w:rPr>
          <w:rFonts w:hint="eastAsia" w:cs="仿宋_GB2312"/>
          <w:szCs w:val="28"/>
        </w:rPr>
        <w:t>年</w:t>
      </w:r>
    </w:p>
    <w:p>
      <w:pPr>
        <w:spacing w:line="360" w:lineRule="auto"/>
        <w:ind w:firstLine="560" w:firstLineChars="200"/>
        <w:rPr>
          <w:rFonts w:hint="eastAsia" w:cs="仿宋_GB2312"/>
          <w:color w:val="FF0000"/>
          <w:szCs w:val="28"/>
        </w:rPr>
      </w:pPr>
      <w:r>
        <w:rPr>
          <w:rFonts w:hint="eastAsia" w:cs="仿宋_GB2312"/>
          <w:szCs w:val="28"/>
        </w:rPr>
        <w:t>建设必要性：为了满足桓仁满族自治县本暖线以及周边居民的电动汽车充电需求。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3</w:t>
      </w:r>
      <w:r>
        <w:rPr>
          <w:rFonts w:hint="eastAsia" w:cs="仿宋_GB2312"/>
          <w:szCs w:val="28"/>
        </w:rPr>
        <w:t>台快充</w:t>
      </w:r>
      <w:r>
        <w:rPr>
          <w:rFonts w:cs="仿宋_GB2312"/>
          <w:szCs w:val="28"/>
        </w:rPr>
        <w:t>60</w:t>
      </w:r>
      <w:r>
        <w:rPr>
          <w:rFonts w:hint="eastAsia" w:cs="仿宋_GB2312"/>
          <w:szCs w:val="28"/>
        </w:rPr>
        <w:t>kW充电桩。</w:t>
      </w:r>
    </w:p>
    <w:p>
      <w:pPr>
        <w:pStyle w:val="217"/>
        <w:spacing w:line="240" w:lineRule="auto"/>
        <w:ind w:firstLine="561"/>
        <w:rPr>
          <w:rFonts w:ascii="仿宋_GB2312" w:hAnsi="仿宋_GB2312" w:cs="仿宋_GB2312"/>
          <w:szCs w:val="21"/>
        </w:rPr>
      </w:pPr>
      <w:r>
        <w:rPr>
          <w:rFonts w:ascii="仿宋_GB2312" w:hAnsi="仿宋_GB2312" w:cs="仿宋_GB2312"/>
          <w:szCs w:val="21"/>
        </w:rPr>
        <w:drawing>
          <wp:inline distT="0" distB="0" distL="0" distR="0">
            <wp:extent cx="3436620" cy="2324100"/>
            <wp:effectExtent l="0" t="0" r="0" b="0"/>
            <wp:docPr id="9889525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952509" name="图片 1"/>
                    <pic:cNvPicPr>
                      <a:picLocks noChangeAspect="1"/>
                    </pic:cNvPicPr>
                  </pic:nvPicPr>
                  <pic:blipFill>
                    <a:blip r:embed="rId53"/>
                    <a:stretch>
                      <a:fillRect/>
                    </a:stretch>
                  </pic:blipFill>
                  <pic:spPr>
                    <a:xfrm>
                      <a:off x="0" y="0"/>
                      <a:ext cx="3436918" cy="2324301"/>
                    </a:xfrm>
                    <a:prstGeom prst="rect">
                      <a:avLst/>
                    </a:prstGeom>
                  </pic:spPr>
                </pic:pic>
              </a:graphicData>
            </a:graphic>
          </wp:inline>
        </w:drawing>
      </w:r>
    </w:p>
    <w:p>
      <w:pPr>
        <w:pStyle w:val="8"/>
      </w:pPr>
      <w:r>
        <w:rPr>
          <w:rFonts w:hint="eastAsia"/>
        </w:rPr>
        <w:t>桓仁满族自治县华来镇暖河子村停车场卫星地理图</w:t>
      </w:r>
    </w:p>
    <w:p>
      <w:pPr>
        <w:pStyle w:val="6"/>
        <w:numPr>
          <w:ilvl w:val="4"/>
          <w:numId w:val="16"/>
        </w:numPr>
        <w:ind w:firstLine="560"/>
        <w:rPr>
          <w:rFonts w:hint="eastAsia"/>
        </w:rPr>
      </w:pPr>
      <w:r>
        <w:rPr>
          <w:rFonts w:hint="eastAsia" w:cs="仿宋_GB2312"/>
          <w:szCs w:val="28"/>
        </w:rPr>
        <w:t>本溪市桓仁满族自治县八里甸子镇川头村停车场充电设施规划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8</w:t>
      </w:r>
      <w:r>
        <w:rPr>
          <w:rFonts w:hint="eastAsia" w:cs="仿宋_GB2312"/>
          <w:szCs w:val="28"/>
        </w:rPr>
        <w:t>年</w:t>
      </w:r>
    </w:p>
    <w:p>
      <w:pPr>
        <w:spacing w:line="360" w:lineRule="auto"/>
        <w:ind w:firstLine="560" w:firstLineChars="200"/>
        <w:rPr>
          <w:rFonts w:hint="eastAsia" w:cs="仿宋_GB2312"/>
          <w:color w:val="FF0000"/>
          <w:szCs w:val="28"/>
        </w:rPr>
      </w:pPr>
      <w:r>
        <w:rPr>
          <w:rFonts w:hint="eastAsia" w:cs="仿宋_GB2312"/>
          <w:szCs w:val="28"/>
        </w:rPr>
        <w:t>建设必要性：为了满足桓仁满族自治县集本线以及周边居民的电动汽车充电需求。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3</w:t>
      </w:r>
      <w:r>
        <w:rPr>
          <w:rFonts w:hint="eastAsia" w:cs="仿宋_GB2312"/>
          <w:szCs w:val="28"/>
        </w:rPr>
        <w:t>台快充</w:t>
      </w:r>
      <w:r>
        <w:rPr>
          <w:rFonts w:cs="仿宋_GB2312"/>
          <w:szCs w:val="28"/>
        </w:rPr>
        <w:t>60</w:t>
      </w:r>
      <w:r>
        <w:rPr>
          <w:rFonts w:hint="eastAsia" w:cs="仿宋_GB2312"/>
          <w:szCs w:val="28"/>
        </w:rPr>
        <w:t>kW充电桩。</w:t>
      </w:r>
    </w:p>
    <w:p>
      <w:pPr>
        <w:pStyle w:val="217"/>
        <w:spacing w:line="240" w:lineRule="auto"/>
        <w:ind w:firstLine="561"/>
        <w:rPr>
          <w:rFonts w:ascii="仿宋_GB2312" w:hAnsi="仿宋_GB2312" w:cs="仿宋_GB2312"/>
          <w:szCs w:val="21"/>
        </w:rPr>
      </w:pPr>
      <w:r>
        <w:drawing>
          <wp:inline distT="0" distB="0" distL="0" distR="0">
            <wp:extent cx="5274310" cy="3315335"/>
            <wp:effectExtent l="0" t="0" r="2540" b="0"/>
            <wp:docPr id="4188911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891171" name="图片 1"/>
                    <pic:cNvPicPr>
                      <a:picLocks noChangeAspect="1"/>
                    </pic:cNvPicPr>
                  </pic:nvPicPr>
                  <pic:blipFill>
                    <a:blip r:embed="rId54"/>
                    <a:stretch>
                      <a:fillRect/>
                    </a:stretch>
                  </pic:blipFill>
                  <pic:spPr>
                    <a:xfrm>
                      <a:off x="0" y="0"/>
                      <a:ext cx="5274310" cy="3315335"/>
                    </a:xfrm>
                    <a:prstGeom prst="rect">
                      <a:avLst/>
                    </a:prstGeom>
                  </pic:spPr>
                </pic:pic>
              </a:graphicData>
            </a:graphic>
          </wp:inline>
        </w:drawing>
      </w:r>
    </w:p>
    <w:p>
      <w:pPr>
        <w:pStyle w:val="8"/>
      </w:pPr>
      <w:r>
        <w:rPr>
          <w:rFonts w:hint="eastAsia"/>
        </w:rPr>
        <w:t>桓仁满族自治县</w:t>
      </w:r>
      <w:r>
        <w:rPr>
          <w:rFonts w:hint="eastAsia" w:cs="仿宋_GB2312"/>
          <w:szCs w:val="28"/>
        </w:rPr>
        <w:t>八里甸子镇川头村</w:t>
      </w:r>
      <w:r>
        <w:rPr>
          <w:rFonts w:hint="eastAsia"/>
        </w:rPr>
        <w:t>停车场卫星地理图</w:t>
      </w:r>
    </w:p>
    <w:p>
      <w:pPr>
        <w:pStyle w:val="6"/>
        <w:numPr>
          <w:ilvl w:val="4"/>
          <w:numId w:val="16"/>
        </w:numPr>
        <w:ind w:firstLine="560"/>
        <w:rPr>
          <w:rFonts w:hint="eastAsia"/>
        </w:rPr>
      </w:pPr>
      <w:r>
        <w:rPr>
          <w:rFonts w:hint="eastAsia" w:cs="仿宋_GB2312"/>
          <w:szCs w:val="28"/>
        </w:rPr>
        <w:t>本溪市桓仁满族自治县人防地震局充电设施规划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8</w:t>
      </w:r>
      <w:r>
        <w:rPr>
          <w:rFonts w:hint="eastAsia" w:cs="仿宋_GB2312"/>
          <w:szCs w:val="28"/>
        </w:rPr>
        <w:t>年</w:t>
      </w:r>
    </w:p>
    <w:p>
      <w:pPr>
        <w:spacing w:line="360" w:lineRule="auto"/>
        <w:ind w:firstLine="560" w:firstLineChars="200"/>
        <w:rPr>
          <w:rFonts w:hint="eastAsia" w:cs="仿宋_GB2312"/>
          <w:color w:val="FF0000"/>
          <w:szCs w:val="28"/>
        </w:rPr>
      </w:pPr>
      <w:r>
        <w:rPr>
          <w:rFonts w:hint="eastAsia" w:cs="仿宋_GB2312"/>
          <w:szCs w:val="28"/>
        </w:rPr>
        <w:t>建设必要性：为了满足桓仁满族自治县平桓线以及县城周边居民的电动汽车充电需求。</w:t>
      </w:r>
    </w:p>
    <w:p>
      <w:pPr>
        <w:spacing w:line="360" w:lineRule="auto"/>
        <w:ind w:firstLine="560" w:firstLineChars="200"/>
        <w:rPr>
          <w:rFonts w:hint="eastAsia" w:cs="仿宋_GB2312"/>
          <w:szCs w:val="28"/>
        </w:rPr>
      </w:pPr>
      <w:r>
        <w:rPr>
          <w:rFonts w:hint="eastAsia" w:cs="仿宋_GB2312"/>
          <w:szCs w:val="28"/>
        </w:rPr>
        <w:t>建设规模：新建12台快充</w:t>
      </w:r>
      <w:r>
        <w:rPr>
          <w:rFonts w:cs="仿宋_GB2312"/>
          <w:szCs w:val="28"/>
        </w:rPr>
        <w:t>60</w:t>
      </w:r>
      <w:r>
        <w:rPr>
          <w:rFonts w:hint="eastAsia" w:cs="仿宋_GB2312"/>
          <w:szCs w:val="28"/>
        </w:rPr>
        <w:t>kW充电桩。</w:t>
      </w:r>
    </w:p>
    <w:p>
      <w:pPr>
        <w:pStyle w:val="217"/>
        <w:spacing w:line="240" w:lineRule="auto"/>
        <w:ind w:firstLine="561"/>
        <w:rPr>
          <w:rFonts w:ascii="仿宋_GB2312" w:hAnsi="仿宋_GB2312" w:cs="仿宋_GB2312"/>
          <w:szCs w:val="21"/>
        </w:rPr>
      </w:pPr>
      <w:r>
        <w:drawing>
          <wp:inline distT="0" distB="0" distL="0" distR="0">
            <wp:extent cx="3895725" cy="2466975"/>
            <wp:effectExtent l="0" t="0" r="9525" b="9525"/>
            <wp:docPr id="1478523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52302" name="图片 1"/>
                    <pic:cNvPicPr>
                      <a:picLocks noChangeAspect="1"/>
                    </pic:cNvPicPr>
                  </pic:nvPicPr>
                  <pic:blipFill>
                    <a:blip r:embed="rId55"/>
                    <a:stretch>
                      <a:fillRect/>
                    </a:stretch>
                  </pic:blipFill>
                  <pic:spPr>
                    <a:xfrm>
                      <a:off x="0" y="0"/>
                      <a:ext cx="3895725" cy="2466975"/>
                    </a:xfrm>
                    <a:prstGeom prst="rect">
                      <a:avLst/>
                    </a:prstGeom>
                  </pic:spPr>
                </pic:pic>
              </a:graphicData>
            </a:graphic>
          </wp:inline>
        </w:drawing>
      </w:r>
    </w:p>
    <w:p>
      <w:pPr>
        <w:pStyle w:val="8"/>
      </w:pPr>
      <w:r>
        <w:rPr>
          <w:rFonts w:hint="eastAsia"/>
        </w:rPr>
        <w:t>桓仁满族自治县</w:t>
      </w:r>
      <w:r>
        <w:rPr>
          <w:rFonts w:hint="eastAsia" w:cs="仿宋_GB2312"/>
          <w:szCs w:val="28"/>
        </w:rPr>
        <w:t>人防地震局</w:t>
      </w:r>
      <w:r>
        <w:rPr>
          <w:rFonts w:hint="eastAsia"/>
        </w:rPr>
        <w:t>卫星地理图</w:t>
      </w:r>
    </w:p>
    <w:p>
      <w:pPr>
        <w:pStyle w:val="6"/>
        <w:numPr>
          <w:ilvl w:val="4"/>
          <w:numId w:val="16"/>
        </w:numPr>
        <w:ind w:firstLine="560"/>
        <w:rPr>
          <w:rFonts w:hint="eastAsia"/>
        </w:rPr>
      </w:pPr>
      <w:r>
        <w:rPr>
          <w:rFonts w:hint="eastAsia" w:cs="仿宋_GB2312"/>
          <w:szCs w:val="28"/>
        </w:rPr>
        <w:t>本溪市桓仁满族自治县雅河客运站对面工业园区充电设施规划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8</w:t>
      </w:r>
      <w:r>
        <w:rPr>
          <w:rFonts w:hint="eastAsia" w:cs="仿宋_GB2312"/>
          <w:szCs w:val="28"/>
        </w:rPr>
        <w:t>年</w:t>
      </w:r>
    </w:p>
    <w:p>
      <w:pPr>
        <w:spacing w:line="360" w:lineRule="auto"/>
        <w:ind w:firstLine="560" w:firstLineChars="200"/>
        <w:rPr>
          <w:rFonts w:hint="eastAsia" w:cs="仿宋_GB2312"/>
          <w:color w:val="FF0000"/>
          <w:szCs w:val="28"/>
        </w:rPr>
      </w:pPr>
      <w:r>
        <w:rPr>
          <w:rFonts w:hint="eastAsia" w:cs="仿宋_GB2312"/>
          <w:szCs w:val="28"/>
        </w:rPr>
        <w:t>建设必要性：为了满足桓仁满族自治县鹤大线以及周边居民的电动汽车充电需求。</w:t>
      </w:r>
    </w:p>
    <w:p>
      <w:pPr>
        <w:spacing w:line="360" w:lineRule="auto"/>
        <w:ind w:firstLine="560" w:firstLineChars="200"/>
        <w:rPr>
          <w:rFonts w:hint="eastAsia" w:cs="仿宋_GB2312"/>
          <w:szCs w:val="28"/>
        </w:rPr>
      </w:pPr>
      <w:r>
        <w:rPr>
          <w:rFonts w:hint="eastAsia" w:cs="仿宋_GB2312"/>
          <w:szCs w:val="28"/>
        </w:rPr>
        <w:t>建设规模：新建5台快充</w:t>
      </w:r>
      <w:r>
        <w:rPr>
          <w:rFonts w:cs="仿宋_GB2312"/>
          <w:szCs w:val="28"/>
        </w:rPr>
        <w:t>60</w:t>
      </w:r>
      <w:r>
        <w:rPr>
          <w:rFonts w:hint="eastAsia" w:cs="仿宋_GB2312"/>
          <w:szCs w:val="28"/>
        </w:rPr>
        <w:t>kW充电桩。</w:t>
      </w:r>
    </w:p>
    <w:p>
      <w:pPr>
        <w:pStyle w:val="217"/>
        <w:spacing w:line="240" w:lineRule="auto"/>
        <w:ind w:firstLine="561"/>
        <w:rPr>
          <w:rFonts w:ascii="仿宋_GB2312" w:hAnsi="仿宋_GB2312" w:cs="仿宋_GB2312"/>
          <w:szCs w:val="21"/>
        </w:rPr>
      </w:pPr>
      <w:r>
        <w:drawing>
          <wp:inline distT="0" distB="0" distL="0" distR="0">
            <wp:extent cx="4638675" cy="2943225"/>
            <wp:effectExtent l="0" t="0" r="9525" b="9525"/>
            <wp:docPr id="5135640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564002" name="图片 1"/>
                    <pic:cNvPicPr>
                      <a:picLocks noChangeAspect="1"/>
                    </pic:cNvPicPr>
                  </pic:nvPicPr>
                  <pic:blipFill>
                    <a:blip r:embed="rId56"/>
                    <a:stretch>
                      <a:fillRect/>
                    </a:stretch>
                  </pic:blipFill>
                  <pic:spPr>
                    <a:xfrm>
                      <a:off x="0" y="0"/>
                      <a:ext cx="4638675" cy="2943225"/>
                    </a:xfrm>
                    <a:prstGeom prst="rect">
                      <a:avLst/>
                    </a:prstGeom>
                  </pic:spPr>
                </pic:pic>
              </a:graphicData>
            </a:graphic>
          </wp:inline>
        </w:drawing>
      </w:r>
    </w:p>
    <w:p>
      <w:pPr>
        <w:pStyle w:val="8"/>
      </w:pPr>
      <w:r>
        <w:rPr>
          <w:rFonts w:hint="eastAsia"/>
        </w:rPr>
        <w:t>桓仁满族自治县</w:t>
      </w:r>
      <w:r>
        <w:rPr>
          <w:rFonts w:hint="eastAsia" w:cs="仿宋_GB2312"/>
          <w:szCs w:val="28"/>
        </w:rPr>
        <w:t>雅河客运站对面工业园区</w:t>
      </w:r>
      <w:r>
        <w:rPr>
          <w:rFonts w:hint="eastAsia"/>
        </w:rPr>
        <w:t>卫星地理图</w:t>
      </w:r>
    </w:p>
    <w:p>
      <w:pPr>
        <w:pStyle w:val="6"/>
        <w:numPr>
          <w:ilvl w:val="4"/>
          <w:numId w:val="16"/>
        </w:numPr>
        <w:ind w:firstLine="560"/>
        <w:rPr>
          <w:rFonts w:hint="eastAsia"/>
        </w:rPr>
      </w:pPr>
      <w:r>
        <w:rPr>
          <w:rFonts w:hint="eastAsia" w:cs="仿宋_GB2312"/>
          <w:szCs w:val="28"/>
        </w:rPr>
        <w:t>本溪市桓仁满族自治县西侧桥头附近充电设施规划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8</w:t>
      </w:r>
      <w:r>
        <w:rPr>
          <w:rFonts w:hint="eastAsia" w:cs="仿宋_GB2312"/>
          <w:szCs w:val="28"/>
        </w:rPr>
        <w:t>年</w:t>
      </w:r>
    </w:p>
    <w:p>
      <w:pPr>
        <w:spacing w:line="360" w:lineRule="auto"/>
        <w:ind w:firstLine="560" w:firstLineChars="200"/>
        <w:rPr>
          <w:rFonts w:hint="eastAsia" w:cs="仿宋_GB2312"/>
          <w:color w:val="FF0000"/>
          <w:szCs w:val="28"/>
        </w:rPr>
      </w:pPr>
      <w:r>
        <w:rPr>
          <w:rFonts w:hint="eastAsia" w:cs="仿宋_GB2312"/>
          <w:szCs w:val="28"/>
        </w:rPr>
        <w:t>建设必要性：为了满足桓仁满族自治县集本线以及周边居民的电动汽车充电需求。</w:t>
      </w:r>
    </w:p>
    <w:p>
      <w:pPr>
        <w:spacing w:line="360" w:lineRule="auto"/>
        <w:ind w:firstLine="560" w:firstLineChars="200"/>
        <w:rPr>
          <w:rFonts w:hint="eastAsia" w:cs="仿宋_GB2312"/>
          <w:szCs w:val="28"/>
        </w:rPr>
      </w:pPr>
      <w:r>
        <w:rPr>
          <w:rFonts w:hint="eastAsia" w:cs="仿宋_GB2312"/>
          <w:szCs w:val="28"/>
        </w:rPr>
        <w:t>建设规模：新建5台快充</w:t>
      </w:r>
      <w:r>
        <w:rPr>
          <w:rFonts w:cs="仿宋_GB2312"/>
          <w:szCs w:val="28"/>
        </w:rPr>
        <w:t>60</w:t>
      </w:r>
      <w:r>
        <w:rPr>
          <w:rFonts w:hint="eastAsia" w:cs="仿宋_GB2312"/>
          <w:szCs w:val="28"/>
        </w:rPr>
        <w:t>kW充电桩。</w:t>
      </w:r>
    </w:p>
    <w:p>
      <w:pPr>
        <w:pStyle w:val="217"/>
        <w:spacing w:line="240" w:lineRule="auto"/>
        <w:ind w:firstLine="561"/>
        <w:rPr>
          <w:rFonts w:ascii="仿宋_GB2312" w:hAnsi="仿宋_GB2312" w:cs="仿宋_GB2312"/>
          <w:szCs w:val="21"/>
        </w:rPr>
      </w:pPr>
      <w:r>
        <w:drawing>
          <wp:inline distT="0" distB="0" distL="0" distR="0">
            <wp:extent cx="5274310" cy="3632835"/>
            <wp:effectExtent l="0" t="0" r="2540" b="5715"/>
            <wp:docPr id="13904395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439561" name="图片 1"/>
                    <pic:cNvPicPr>
                      <a:picLocks noChangeAspect="1"/>
                    </pic:cNvPicPr>
                  </pic:nvPicPr>
                  <pic:blipFill>
                    <a:blip r:embed="rId57"/>
                    <a:stretch>
                      <a:fillRect/>
                    </a:stretch>
                  </pic:blipFill>
                  <pic:spPr>
                    <a:xfrm>
                      <a:off x="0" y="0"/>
                      <a:ext cx="5274310" cy="3632835"/>
                    </a:xfrm>
                    <a:prstGeom prst="rect">
                      <a:avLst/>
                    </a:prstGeom>
                  </pic:spPr>
                </pic:pic>
              </a:graphicData>
            </a:graphic>
          </wp:inline>
        </w:drawing>
      </w:r>
    </w:p>
    <w:p>
      <w:pPr>
        <w:pStyle w:val="8"/>
      </w:pPr>
      <w:r>
        <w:rPr>
          <w:rFonts w:hint="eastAsia"/>
        </w:rPr>
        <w:t>桓仁满族自治县</w:t>
      </w:r>
      <w:r>
        <w:rPr>
          <w:rFonts w:hint="eastAsia" w:cs="仿宋_GB2312"/>
          <w:szCs w:val="28"/>
        </w:rPr>
        <w:t>西侧桥头附近</w:t>
      </w:r>
      <w:r>
        <w:rPr>
          <w:rFonts w:hint="eastAsia"/>
        </w:rPr>
        <w:t>卫星地理图</w:t>
      </w:r>
    </w:p>
    <w:p>
      <w:pPr>
        <w:rPr>
          <w:rFonts w:hint="eastAsia"/>
        </w:rPr>
      </w:pPr>
    </w:p>
    <w:p>
      <w:pPr>
        <w:pStyle w:val="5"/>
      </w:pPr>
      <w:r>
        <w:rPr>
          <w:rFonts w:hint="eastAsia"/>
          <w:bCs/>
          <w:sz w:val="32"/>
          <w:szCs w:val="32"/>
        </w:rPr>
        <w:t>远期布局方案</w:t>
      </w:r>
    </w:p>
    <w:p>
      <w:pPr>
        <w:spacing w:line="360" w:lineRule="auto"/>
        <w:ind w:firstLine="560" w:firstLineChars="200"/>
        <w:jc w:val="left"/>
        <w:rPr>
          <w:rFonts w:hint="eastAsia" w:cs="仿宋_GB2312"/>
          <w:szCs w:val="22"/>
        </w:rPr>
      </w:pPr>
      <w:r>
        <w:rPr>
          <w:rFonts w:hint="eastAsia" w:cs="仿宋_GB2312"/>
          <w:szCs w:val="22"/>
        </w:rPr>
        <w:t>远期桓仁满族自治县</w:t>
      </w:r>
      <w:r>
        <w:rPr>
          <w:rFonts w:cs="仿宋_GB2312"/>
          <w:szCs w:val="22"/>
        </w:rPr>
        <w:t>规划新建公共充电站72座，</w:t>
      </w:r>
      <w:r>
        <w:rPr>
          <w:rFonts w:hint="eastAsia" w:cs="仿宋_GB2312"/>
          <w:szCs w:val="22"/>
        </w:rPr>
        <w:t>共计</w:t>
      </w:r>
      <w:r>
        <w:rPr>
          <w:rFonts w:cs="仿宋_GB2312"/>
          <w:szCs w:val="22"/>
        </w:rPr>
        <w:t>新增公共充电桩258个</w:t>
      </w:r>
      <w:r>
        <w:rPr>
          <w:rFonts w:hint="eastAsia"/>
        </w:rPr>
        <w:t>（充电枪258个）</w:t>
      </w:r>
      <w:r>
        <w:rPr>
          <w:rFonts w:cs="仿宋_GB2312"/>
          <w:szCs w:val="22"/>
        </w:rPr>
        <w:t>，</w:t>
      </w:r>
      <w:r>
        <w:rPr>
          <w:rFonts w:hint="eastAsia" w:cs="仿宋_GB2312"/>
          <w:szCs w:val="22"/>
        </w:rPr>
        <w:t>全部为</w:t>
      </w:r>
      <w:r>
        <w:rPr>
          <w:rFonts w:cs="仿宋_GB2312"/>
          <w:szCs w:val="22"/>
        </w:rPr>
        <w:t>快充充电桩</w:t>
      </w:r>
      <w:r>
        <w:rPr>
          <w:rFonts w:hint="eastAsia" w:cs="仿宋_GB2312"/>
          <w:szCs w:val="22"/>
        </w:rPr>
        <w:t>。</w:t>
      </w:r>
    </w:p>
    <w:p>
      <w:pPr>
        <w:spacing w:line="360" w:lineRule="auto"/>
        <w:ind w:firstLine="560" w:firstLineChars="200"/>
        <w:jc w:val="left"/>
        <w:rPr>
          <w:rFonts w:hint="eastAsia" w:cs="仿宋_GB2312"/>
          <w:szCs w:val="22"/>
        </w:rPr>
      </w:pPr>
      <w:r>
        <w:rPr>
          <w:rFonts w:hint="eastAsia" w:cs="仿宋_GB2312"/>
          <w:szCs w:val="22"/>
        </w:rPr>
        <w:t>桓仁满族自治县片区2</w:t>
      </w:r>
      <w:r>
        <w:rPr>
          <w:rFonts w:cs="仿宋_GB2312"/>
          <w:szCs w:val="22"/>
        </w:rPr>
        <w:t>035</w:t>
      </w:r>
      <w:r>
        <w:rPr>
          <w:rFonts w:hint="eastAsia" w:cs="仿宋_GB2312"/>
          <w:szCs w:val="22"/>
        </w:rPr>
        <w:t>年</w:t>
      </w:r>
      <w:r>
        <w:rPr>
          <w:rFonts w:cs="仿宋_GB2312"/>
          <w:szCs w:val="22"/>
        </w:rPr>
        <w:t>规划充电设施站点如下</w:t>
      </w:r>
      <w:r>
        <w:rPr>
          <w:rFonts w:hint="eastAsia" w:cs="仿宋_GB2312"/>
          <w:szCs w:val="22"/>
        </w:rPr>
        <w:t>图</w:t>
      </w:r>
      <w:r>
        <w:rPr>
          <w:rFonts w:cs="仿宋_GB2312"/>
          <w:szCs w:val="22"/>
        </w:rPr>
        <w:t>所示</w:t>
      </w:r>
      <w:r>
        <w:rPr>
          <w:rFonts w:hint="eastAsia" w:cs="仿宋_GB2312"/>
          <w:szCs w:val="22"/>
        </w:rPr>
        <w:t>：</w:t>
      </w:r>
    </w:p>
    <w:p>
      <w:pPr>
        <w:spacing w:line="240" w:lineRule="auto"/>
        <w:rPr>
          <w:rFonts w:hint="eastAsia"/>
        </w:rPr>
      </w:pPr>
      <w:r>
        <w:drawing>
          <wp:inline distT="0" distB="0" distL="0" distR="0">
            <wp:extent cx="5274310" cy="3728085"/>
            <wp:effectExtent l="0" t="0" r="2540" b="5715"/>
            <wp:docPr id="148498110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981100" name="图片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5274310" cy="3728085"/>
                    </a:xfrm>
                    <a:prstGeom prst="rect">
                      <a:avLst/>
                    </a:prstGeom>
                    <a:noFill/>
                    <a:ln>
                      <a:noFill/>
                    </a:ln>
                  </pic:spPr>
                </pic:pic>
              </a:graphicData>
            </a:graphic>
          </wp:inline>
        </w:drawing>
      </w:r>
    </w:p>
    <w:p>
      <w:pPr>
        <w:pStyle w:val="8"/>
      </w:pPr>
      <w:r>
        <w:rPr>
          <w:rFonts w:hint="eastAsia"/>
        </w:rPr>
        <w:t>桓仁满族自治县2</w:t>
      </w:r>
      <w:r>
        <w:t>035</w:t>
      </w:r>
      <w:r>
        <w:rPr>
          <w:rFonts w:hint="eastAsia"/>
        </w:rPr>
        <w:t>年电动汽车充电设施点位布局图</w:t>
      </w:r>
    </w:p>
    <w:p>
      <w:pPr>
        <w:spacing w:line="240" w:lineRule="auto"/>
        <w:rPr>
          <w:rFonts w:hint="eastAsia"/>
        </w:rPr>
      </w:pPr>
      <w:r>
        <w:drawing>
          <wp:inline distT="0" distB="0" distL="0" distR="0">
            <wp:extent cx="5274310" cy="3729990"/>
            <wp:effectExtent l="0" t="0" r="2540" b="3810"/>
            <wp:docPr id="172077697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776971" name="图片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5274310" cy="3729990"/>
                    </a:xfrm>
                    <a:prstGeom prst="rect">
                      <a:avLst/>
                    </a:prstGeom>
                    <a:noFill/>
                    <a:ln>
                      <a:noFill/>
                    </a:ln>
                  </pic:spPr>
                </pic:pic>
              </a:graphicData>
            </a:graphic>
          </wp:inline>
        </w:drawing>
      </w:r>
    </w:p>
    <w:p>
      <w:pPr>
        <w:pStyle w:val="8"/>
        <w:spacing w:line="240" w:lineRule="auto"/>
      </w:pPr>
      <w:r>
        <w:rPr>
          <w:rFonts w:hint="eastAsia"/>
        </w:rPr>
        <w:t>桓仁满族自治县充电设施2</w:t>
      </w:r>
      <w:r>
        <w:t>035</w:t>
      </w:r>
      <w:r>
        <w:rPr>
          <w:rFonts w:hint="eastAsia"/>
        </w:rPr>
        <w:t>年服务半径</w:t>
      </w:r>
    </w:p>
    <w:p>
      <w:pPr>
        <w:pStyle w:val="7"/>
      </w:pPr>
      <w:r>
        <w:rPr>
          <w:rFonts w:hint="eastAsia"/>
        </w:rPr>
        <w:t>桓仁满族自治县远期公共充电设施规划项目表</w:t>
      </w: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28" w:type="dxa"/>
          <w:left w:w="28" w:type="dxa"/>
          <w:bottom w:w="28" w:type="dxa"/>
          <w:right w:w="28" w:type="dxa"/>
        </w:tblCellMar>
      </w:tblPr>
      <w:tblGrid>
        <w:gridCol w:w="329"/>
        <w:gridCol w:w="1954"/>
        <w:gridCol w:w="3308"/>
        <w:gridCol w:w="694"/>
        <w:gridCol w:w="858"/>
        <w:gridCol w:w="619"/>
        <w:gridCol w:w="60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197" w:type="pct"/>
            <w:vMerge w:val="restart"/>
            <w:shd w:val="clear" w:color="auto" w:fill="D9D9D9"/>
            <w:noWrap/>
            <w:vAlign w:val="center"/>
          </w:tcPr>
          <w:p>
            <w:pPr>
              <w:spacing w:line="240" w:lineRule="auto"/>
              <w:jc w:val="center"/>
              <w:rPr>
                <w:rFonts w:hint="eastAsia"/>
                <w:b/>
                <w:sz w:val="19"/>
              </w:rPr>
            </w:pPr>
            <w:r>
              <w:rPr>
                <w:rFonts w:hint="eastAsia"/>
                <w:b/>
                <w:sz w:val="19"/>
              </w:rPr>
              <w:t>序号</w:t>
            </w:r>
          </w:p>
        </w:tc>
        <w:tc>
          <w:tcPr>
            <w:tcW w:w="1168" w:type="pct"/>
            <w:vMerge w:val="restart"/>
            <w:shd w:val="clear" w:color="auto" w:fill="D9D9D9"/>
            <w:noWrap/>
            <w:vAlign w:val="center"/>
          </w:tcPr>
          <w:p>
            <w:pPr>
              <w:spacing w:line="240" w:lineRule="auto"/>
              <w:jc w:val="center"/>
              <w:rPr>
                <w:rFonts w:hint="eastAsia"/>
                <w:b/>
                <w:sz w:val="19"/>
              </w:rPr>
            </w:pPr>
            <w:r>
              <w:rPr>
                <w:rFonts w:hint="eastAsia"/>
                <w:b/>
                <w:sz w:val="19"/>
              </w:rPr>
              <w:t>项目名称</w:t>
            </w:r>
          </w:p>
        </w:tc>
        <w:tc>
          <w:tcPr>
            <w:tcW w:w="1978" w:type="pct"/>
            <w:vMerge w:val="restart"/>
            <w:shd w:val="clear" w:color="auto" w:fill="D9D9D9"/>
            <w:noWrap/>
            <w:vAlign w:val="center"/>
          </w:tcPr>
          <w:p>
            <w:pPr>
              <w:spacing w:line="240" w:lineRule="auto"/>
              <w:jc w:val="center"/>
              <w:rPr>
                <w:rFonts w:hint="eastAsia"/>
                <w:b/>
                <w:sz w:val="19"/>
              </w:rPr>
            </w:pPr>
            <w:r>
              <w:rPr>
                <w:rFonts w:hint="eastAsia"/>
                <w:b/>
                <w:sz w:val="19"/>
              </w:rPr>
              <w:t>位置</w:t>
            </w:r>
          </w:p>
        </w:tc>
        <w:tc>
          <w:tcPr>
            <w:tcW w:w="415" w:type="pct"/>
            <w:vMerge w:val="restart"/>
            <w:shd w:val="clear" w:color="auto" w:fill="D9D9D9"/>
            <w:noWrap/>
            <w:vAlign w:val="center"/>
          </w:tcPr>
          <w:p>
            <w:pPr>
              <w:spacing w:line="240" w:lineRule="auto"/>
              <w:jc w:val="center"/>
              <w:rPr>
                <w:rFonts w:hint="eastAsia"/>
                <w:b/>
                <w:sz w:val="19"/>
              </w:rPr>
            </w:pPr>
            <w:r>
              <w:rPr>
                <w:rFonts w:hint="eastAsia"/>
                <w:b/>
                <w:sz w:val="19"/>
              </w:rPr>
              <w:t>类型</w:t>
            </w:r>
          </w:p>
        </w:tc>
        <w:tc>
          <w:tcPr>
            <w:tcW w:w="883" w:type="pct"/>
            <w:gridSpan w:val="2"/>
            <w:shd w:val="clear" w:color="auto" w:fill="D9D9D9"/>
            <w:noWrap/>
            <w:vAlign w:val="center"/>
          </w:tcPr>
          <w:p>
            <w:pPr>
              <w:spacing w:line="240" w:lineRule="auto"/>
              <w:jc w:val="center"/>
              <w:rPr>
                <w:rFonts w:hint="eastAsia"/>
                <w:b/>
                <w:sz w:val="19"/>
              </w:rPr>
            </w:pPr>
            <w:r>
              <w:rPr>
                <w:rFonts w:hint="eastAsia"/>
                <w:b/>
                <w:sz w:val="19"/>
              </w:rPr>
              <w:t>设置充电基础设施数量（个）</w:t>
            </w:r>
          </w:p>
        </w:tc>
        <w:tc>
          <w:tcPr>
            <w:tcW w:w="359" w:type="pct"/>
            <w:vMerge w:val="restart"/>
            <w:shd w:val="clear" w:color="auto" w:fill="D9D9D9"/>
            <w:noWrap/>
            <w:vAlign w:val="center"/>
          </w:tcPr>
          <w:p>
            <w:pPr>
              <w:spacing w:line="240" w:lineRule="auto"/>
              <w:jc w:val="center"/>
              <w:rPr>
                <w:rFonts w:hint="eastAsia"/>
                <w:b/>
                <w:sz w:val="19"/>
              </w:rPr>
            </w:pPr>
            <w:r>
              <w:rPr>
                <w:rFonts w:hint="eastAsia"/>
                <w:b/>
                <w:sz w:val="19"/>
              </w:rPr>
              <w:t>建设年限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197" w:type="pct"/>
            <w:vMerge w:val="continue"/>
            <w:shd w:val="clear" w:color="auto" w:fill="D9D9D9"/>
            <w:vAlign w:val="center"/>
          </w:tcPr>
          <w:p>
            <w:pPr>
              <w:spacing w:line="240" w:lineRule="auto"/>
              <w:jc w:val="center"/>
              <w:rPr>
                <w:rFonts w:hint="eastAsia"/>
                <w:b/>
                <w:sz w:val="19"/>
              </w:rPr>
            </w:pPr>
          </w:p>
        </w:tc>
        <w:tc>
          <w:tcPr>
            <w:tcW w:w="1168" w:type="pct"/>
            <w:vMerge w:val="continue"/>
            <w:shd w:val="clear" w:color="auto" w:fill="D9D9D9"/>
            <w:vAlign w:val="center"/>
          </w:tcPr>
          <w:p>
            <w:pPr>
              <w:spacing w:line="240" w:lineRule="auto"/>
              <w:jc w:val="center"/>
              <w:rPr>
                <w:rFonts w:hint="eastAsia"/>
                <w:b/>
                <w:sz w:val="19"/>
              </w:rPr>
            </w:pPr>
          </w:p>
        </w:tc>
        <w:tc>
          <w:tcPr>
            <w:tcW w:w="1978" w:type="pct"/>
            <w:vMerge w:val="continue"/>
            <w:shd w:val="clear" w:color="auto" w:fill="D9D9D9"/>
            <w:vAlign w:val="center"/>
          </w:tcPr>
          <w:p>
            <w:pPr>
              <w:spacing w:line="240" w:lineRule="auto"/>
              <w:jc w:val="center"/>
              <w:rPr>
                <w:rFonts w:hint="eastAsia"/>
                <w:b/>
                <w:sz w:val="19"/>
              </w:rPr>
            </w:pPr>
          </w:p>
        </w:tc>
        <w:tc>
          <w:tcPr>
            <w:tcW w:w="415" w:type="pct"/>
            <w:vMerge w:val="continue"/>
            <w:shd w:val="clear" w:color="auto" w:fill="D9D9D9"/>
            <w:vAlign w:val="center"/>
          </w:tcPr>
          <w:p>
            <w:pPr>
              <w:spacing w:line="240" w:lineRule="auto"/>
              <w:jc w:val="center"/>
              <w:rPr>
                <w:rFonts w:hint="eastAsia"/>
                <w:b/>
                <w:sz w:val="19"/>
              </w:rPr>
            </w:pPr>
          </w:p>
        </w:tc>
        <w:tc>
          <w:tcPr>
            <w:tcW w:w="513" w:type="pct"/>
            <w:shd w:val="clear" w:color="auto" w:fill="D9D9D9"/>
            <w:noWrap/>
            <w:vAlign w:val="center"/>
          </w:tcPr>
          <w:p>
            <w:pPr>
              <w:spacing w:line="240" w:lineRule="auto"/>
              <w:jc w:val="center"/>
              <w:rPr>
                <w:rFonts w:hint="eastAsia"/>
                <w:b/>
                <w:sz w:val="19"/>
              </w:rPr>
            </w:pPr>
            <w:r>
              <w:rPr>
                <w:rFonts w:hint="eastAsia"/>
                <w:b/>
                <w:sz w:val="19"/>
              </w:rPr>
              <w:t>快充</w:t>
            </w:r>
          </w:p>
        </w:tc>
        <w:tc>
          <w:tcPr>
            <w:tcW w:w="370" w:type="pct"/>
            <w:shd w:val="clear" w:color="auto" w:fill="D9D9D9"/>
            <w:noWrap/>
            <w:vAlign w:val="center"/>
          </w:tcPr>
          <w:p>
            <w:pPr>
              <w:spacing w:line="240" w:lineRule="auto"/>
              <w:jc w:val="center"/>
              <w:rPr>
                <w:rFonts w:hint="eastAsia"/>
                <w:b/>
                <w:sz w:val="19"/>
              </w:rPr>
            </w:pPr>
            <w:r>
              <w:rPr>
                <w:rFonts w:hint="eastAsia"/>
                <w:b/>
                <w:sz w:val="19"/>
              </w:rPr>
              <w:t>慢充</w:t>
            </w:r>
          </w:p>
        </w:tc>
        <w:tc>
          <w:tcPr>
            <w:tcW w:w="359" w:type="pct"/>
            <w:vMerge w:val="continue"/>
            <w:shd w:val="clear" w:color="auto" w:fill="D9D9D9"/>
            <w:vAlign w:val="center"/>
          </w:tcPr>
          <w:p>
            <w:pPr>
              <w:spacing w:line="240" w:lineRule="auto"/>
              <w:jc w:val="center"/>
              <w:rPr>
                <w:rFonts w:hint="eastAsia"/>
                <w:b/>
                <w:sz w:val="19"/>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1</w:t>
            </w:r>
          </w:p>
        </w:tc>
        <w:tc>
          <w:tcPr>
            <w:tcW w:w="1168" w:type="pct"/>
            <w:shd w:val="clear" w:color="auto" w:fill="auto"/>
            <w:noWrap/>
            <w:vAlign w:val="center"/>
          </w:tcPr>
          <w:p>
            <w:pPr>
              <w:spacing w:line="240" w:lineRule="auto"/>
              <w:jc w:val="center"/>
              <w:rPr>
                <w:rFonts w:hint="eastAsia"/>
                <w:sz w:val="19"/>
              </w:rPr>
            </w:pPr>
            <w:r>
              <w:rPr>
                <w:rFonts w:hint="eastAsia"/>
                <w:sz w:val="19"/>
              </w:rPr>
              <w:t>东北参茸城</w:t>
            </w:r>
          </w:p>
        </w:tc>
        <w:tc>
          <w:tcPr>
            <w:tcW w:w="1978" w:type="pct"/>
            <w:shd w:val="clear" w:color="auto" w:fill="auto"/>
            <w:noWrap/>
            <w:vAlign w:val="center"/>
          </w:tcPr>
          <w:p>
            <w:pPr>
              <w:spacing w:line="240" w:lineRule="auto"/>
              <w:jc w:val="center"/>
              <w:rPr>
                <w:rFonts w:hint="eastAsia"/>
                <w:sz w:val="19"/>
              </w:rPr>
            </w:pPr>
            <w:r>
              <w:rPr>
                <w:rFonts w:hint="eastAsia"/>
                <w:sz w:val="19"/>
              </w:rPr>
              <w:t>桓仁满族自治县华山路桓仁东方客运公司客运站南侧</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12</w:t>
            </w:r>
          </w:p>
        </w:tc>
        <w:tc>
          <w:tcPr>
            <w:tcW w:w="370" w:type="pct"/>
            <w:shd w:val="clear" w:color="auto" w:fill="auto"/>
            <w:noWrap/>
            <w:vAlign w:val="center"/>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2</w:t>
            </w:r>
          </w:p>
        </w:tc>
        <w:tc>
          <w:tcPr>
            <w:tcW w:w="1168" w:type="pct"/>
            <w:shd w:val="clear" w:color="auto" w:fill="auto"/>
            <w:noWrap/>
            <w:vAlign w:val="center"/>
          </w:tcPr>
          <w:p>
            <w:pPr>
              <w:spacing w:line="240" w:lineRule="auto"/>
              <w:jc w:val="center"/>
              <w:rPr>
                <w:rFonts w:hint="eastAsia"/>
                <w:sz w:val="19"/>
              </w:rPr>
            </w:pPr>
            <w:r>
              <w:rPr>
                <w:rFonts w:hint="eastAsia"/>
                <w:sz w:val="19"/>
              </w:rPr>
              <w:t>龙麟酒庄景区</w:t>
            </w:r>
          </w:p>
        </w:tc>
        <w:tc>
          <w:tcPr>
            <w:tcW w:w="1978" w:type="pct"/>
            <w:shd w:val="clear" w:color="auto" w:fill="auto"/>
            <w:noWrap/>
            <w:vAlign w:val="center"/>
          </w:tcPr>
          <w:p>
            <w:pPr>
              <w:spacing w:line="240" w:lineRule="auto"/>
              <w:jc w:val="center"/>
              <w:rPr>
                <w:rFonts w:hint="eastAsia"/>
                <w:sz w:val="19"/>
              </w:rPr>
            </w:pPr>
            <w:r>
              <w:rPr>
                <w:rFonts w:hint="eastAsia"/>
                <w:sz w:val="19"/>
              </w:rPr>
              <w:t>本溪市桓仁满族自治县桓仁镇北江大街27号</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12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3</w:t>
            </w:r>
          </w:p>
        </w:tc>
        <w:tc>
          <w:tcPr>
            <w:tcW w:w="1168" w:type="pct"/>
            <w:shd w:val="clear" w:color="auto" w:fill="auto"/>
            <w:noWrap/>
            <w:vAlign w:val="center"/>
          </w:tcPr>
          <w:p>
            <w:pPr>
              <w:spacing w:line="240" w:lineRule="auto"/>
              <w:jc w:val="center"/>
              <w:rPr>
                <w:rFonts w:hint="eastAsia"/>
                <w:sz w:val="19"/>
              </w:rPr>
            </w:pPr>
            <w:r>
              <w:rPr>
                <w:rFonts w:hint="eastAsia"/>
                <w:sz w:val="19"/>
              </w:rPr>
              <w:t>上药好护士中医药健康养生园</w:t>
            </w:r>
          </w:p>
        </w:tc>
        <w:tc>
          <w:tcPr>
            <w:tcW w:w="1978" w:type="pct"/>
            <w:shd w:val="clear" w:color="auto" w:fill="auto"/>
            <w:noWrap/>
            <w:vAlign w:val="center"/>
          </w:tcPr>
          <w:p>
            <w:pPr>
              <w:spacing w:line="240" w:lineRule="auto"/>
              <w:jc w:val="center"/>
              <w:rPr>
                <w:rFonts w:hint="eastAsia"/>
                <w:sz w:val="19"/>
              </w:rPr>
            </w:pPr>
            <w:r>
              <w:rPr>
                <w:rFonts w:hint="eastAsia"/>
                <w:sz w:val="19"/>
              </w:rPr>
              <w:t>　</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12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4</w:t>
            </w:r>
          </w:p>
        </w:tc>
        <w:tc>
          <w:tcPr>
            <w:tcW w:w="1168" w:type="pct"/>
            <w:shd w:val="clear" w:color="auto" w:fill="auto"/>
            <w:noWrap/>
            <w:vAlign w:val="center"/>
          </w:tcPr>
          <w:p>
            <w:pPr>
              <w:spacing w:line="240" w:lineRule="auto"/>
              <w:jc w:val="center"/>
              <w:rPr>
                <w:rFonts w:hint="eastAsia"/>
                <w:sz w:val="19"/>
              </w:rPr>
            </w:pPr>
            <w:r>
              <w:rPr>
                <w:rFonts w:hint="eastAsia"/>
                <w:sz w:val="19"/>
              </w:rPr>
              <w:t>枫林·谷里房车露营公园</w:t>
            </w:r>
          </w:p>
        </w:tc>
        <w:tc>
          <w:tcPr>
            <w:tcW w:w="1978" w:type="pct"/>
            <w:shd w:val="clear" w:color="auto" w:fill="auto"/>
            <w:noWrap/>
            <w:vAlign w:val="center"/>
          </w:tcPr>
          <w:p>
            <w:pPr>
              <w:spacing w:line="240" w:lineRule="auto"/>
              <w:jc w:val="center"/>
              <w:rPr>
                <w:rFonts w:hint="eastAsia"/>
                <w:sz w:val="19"/>
              </w:rPr>
            </w:pPr>
            <w:r>
              <w:rPr>
                <w:rFonts w:hint="eastAsia"/>
                <w:sz w:val="19"/>
              </w:rPr>
              <w:t>本溪市桓仁满族自治县向阳乡和平村砬门2组</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6</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5</w:t>
            </w:r>
          </w:p>
        </w:tc>
        <w:tc>
          <w:tcPr>
            <w:tcW w:w="1168" w:type="pct"/>
            <w:shd w:val="clear" w:color="auto" w:fill="auto"/>
            <w:noWrap/>
            <w:vAlign w:val="center"/>
          </w:tcPr>
          <w:p>
            <w:pPr>
              <w:spacing w:line="240" w:lineRule="auto"/>
              <w:jc w:val="center"/>
              <w:rPr>
                <w:rFonts w:hint="eastAsia"/>
                <w:sz w:val="19"/>
              </w:rPr>
            </w:pPr>
            <w:r>
              <w:rPr>
                <w:rFonts w:hint="eastAsia"/>
                <w:sz w:val="19"/>
              </w:rPr>
              <w:t>辽宁东北抗日义勇军纪念馆</w:t>
            </w:r>
          </w:p>
        </w:tc>
        <w:tc>
          <w:tcPr>
            <w:tcW w:w="1978" w:type="pct"/>
            <w:shd w:val="clear" w:color="auto" w:fill="auto"/>
            <w:noWrap/>
            <w:vAlign w:val="center"/>
          </w:tcPr>
          <w:p>
            <w:pPr>
              <w:spacing w:line="240" w:lineRule="auto"/>
              <w:jc w:val="center"/>
              <w:rPr>
                <w:rFonts w:hint="eastAsia"/>
                <w:sz w:val="19"/>
              </w:rPr>
            </w:pPr>
            <w:r>
              <w:rPr>
                <w:rFonts w:hint="eastAsia"/>
                <w:sz w:val="19"/>
              </w:rPr>
              <w:t>本溪市桓仁满族自治县桓仁镇北环路北山公园内</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12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6</w:t>
            </w:r>
          </w:p>
        </w:tc>
        <w:tc>
          <w:tcPr>
            <w:tcW w:w="1168" w:type="pct"/>
            <w:shd w:val="clear" w:color="auto" w:fill="auto"/>
            <w:noWrap/>
            <w:vAlign w:val="center"/>
          </w:tcPr>
          <w:p>
            <w:pPr>
              <w:spacing w:line="240" w:lineRule="auto"/>
              <w:jc w:val="center"/>
              <w:rPr>
                <w:rFonts w:hint="eastAsia"/>
                <w:sz w:val="19"/>
              </w:rPr>
            </w:pPr>
            <w:r>
              <w:rPr>
                <w:rFonts w:hint="eastAsia"/>
                <w:sz w:val="19"/>
              </w:rPr>
              <w:t>本桓高速（本溪东1）</w:t>
            </w:r>
          </w:p>
        </w:tc>
        <w:tc>
          <w:tcPr>
            <w:tcW w:w="1978" w:type="pct"/>
            <w:shd w:val="clear" w:color="auto" w:fill="auto"/>
            <w:noWrap/>
            <w:vAlign w:val="center"/>
          </w:tcPr>
          <w:p>
            <w:pPr>
              <w:spacing w:line="240" w:lineRule="auto"/>
              <w:jc w:val="center"/>
              <w:rPr>
                <w:rFonts w:hint="eastAsia"/>
                <w:sz w:val="19"/>
              </w:rPr>
            </w:pPr>
            <w:r>
              <w:rPr>
                <w:rFonts w:hint="eastAsia"/>
                <w:sz w:val="19"/>
              </w:rPr>
              <w:t>规划</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6</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7</w:t>
            </w:r>
          </w:p>
        </w:tc>
        <w:tc>
          <w:tcPr>
            <w:tcW w:w="1168" w:type="pct"/>
            <w:shd w:val="clear" w:color="auto" w:fill="auto"/>
            <w:noWrap/>
            <w:vAlign w:val="center"/>
          </w:tcPr>
          <w:p>
            <w:pPr>
              <w:spacing w:line="240" w:lineRule="auto"/>
              <w:jc w:val="center"/>
              <w:rPr>
                <w:rFonts w:hint="eastAsia"/>
                <w:sz w:val="19"/>
              </w:rPr>
            </w:pPr>
            <w:r>
              <w:rPr>
                <w:rFonts w:hint="eastAsia"/>
                <w:sz w:val="19"/>
              </w:rPr>
              <w:t>本桓高速（本溪西1）</w:t>
            </w:r>
          </w:p>
        </w:tc>
        <w:tc>
          <w:tcPr>
            <w:tcW w:w="1978" w:type="pct"/>
            <w:shd w:val="clear" w:color="auto" w:fill="auto"/>
            <w:noWrap/>
            <w:vAlign w:val="center"/>
          </w:tcPr>
          <w:p>
            <w:pPr>
              <w:spacing w:line="240" w:lineRule="auto"/>
              <w:jc w:val="center"/>
              <w:rPr>
                <w:rFonts w:hint="eastAsia"/>
                <w:sz w:val="19"/>
              </w:rPr>
            </w:pPr>
            <w:r>
              <w:rPr>
                <w:rFonts w:hint="eastAsia"/>
                <w:sz w:val="19"/>
              </w:rPr>
              <w:t>规划</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6</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8</w:t>
            </w:r>
          </w:p>
        </w:tc>
        <w:tc>
          <w:tcPr>
            <w:tcW w:w="1168" w:type="pct"/>
            <w:shd w:val="clear" w:color="auto" w:fill="auto"/>
            <w:noWrap/>
            <w:vAlign w:val="center"/>
          </w:tcPr>
          <w:p>
            <w:pPr>
              <w:spacing w:line="240" w:lineRule="auto"/>
              <w:jc w:val="center"/>
              <w:rPr>
                <w:rFonts w:hint="eastAsia"/>
                <w:sz w:val="19"/>
              </w:rPr>
            </w:pPr>
            <w:r>
              <w:rPr>
                <w:rFonts w:hint="eastAsia"/>
                <w:sz w:val="19"/>
              </w:rPr>
              <w:t>本桓高速（本溪东2）</w:t>
            </w:r>
          </w:p>
        </w:tc>
        <w:tc>
          <w:tcPr>
            <w:tcW w:w="1978" w:type="pct"/>
            <w:shd w:val="clear" w:color="auto" w:fill="auto"/>
            <w:noWrap/>
            <w:vAlign w:val="center"/>
          </w:tcPr>
          <w:p>
            <w:pPr>
              <w:spacing w:line="240" w:lineRule="auto"/>
              <w:jc w:val="center"/>
              <w:rPr>
                <w:rFonts w:hint="eastAsia"/>
                <w:sz w:val="19"/>
              </w:rPr>
            </w:pPr>
            <w:r>
              <w:rPr>
                <w:rFonts w:hint="eastAsia"/>
                <w:sz w:val="19"/>
              </w:rPr>
              <w:t>规划</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6</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9</w:t>
            </w:r>
          </w:p>
        </w:tc>
        <w:tc>
          <w:tcPr>
            <w:tcW w:w="1168" w:type="pct"/>
            <w:shd w:val="clear" w:color="auto" w:fill="auto"/>
            <w:noWrap/>
            <w:vAlign w:val="center"/>
          </w:tcPr>
          <w:p>
            <w:pPr>
              <w:spacing w:line="240" w:lineRule="auto"/>
              <w:jc w:val="center"/>
              <w:rPr>
                <w:rFonts w:hint="eastAsia"/>
                <w:sz w:val="19"/>
              </w:rPr>
            </w:pPr>
            <w:r>
              <w:rPr>
                <w:rFonts w:hint="eastAsia"/>
                <w:sz w:val="19"/>
              </w:rPr>
              <w:t>本桓高速（本溪西2）</w:t>
            </w:r>
          </w:p>
        </w:tc>
        <w:tc>
          <w:tcPr>
            <w:tcW w:w="1978" w:type="pct"/>
            <w:shd w:val="clear" w:color="auto" w:fill="auto"/>
            <w:noWrap/>
            <w:vAlign w:val="center"/>
          </w:tcPr>
          <w:p>
            <w:pPr>
              <w:spacing w:line="240" w:lineRule="auto"/>
              <w:jc w:val="center"/>
              <w:rPr>
                <w:rFonts w:hint="eastAsia"/>
                <w:sz w:val="19"/>
              </w:rPr>
            </w:pPr>
            <w:r>
              <w:rPr>
                <w:rFonts w:hint="eastAsia"/>
                <w:sz w:val="19"/>
              </w:rPr>
              <w:t>规划</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6</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10</w:t>
            </w:r>
          </w:p>
        </w:tc>
        <w:tc>
          <w:tcPr>
            <w:tcW w:w="1168" w:type="pct"/>
            <w:shd w:val="clear" w:color="auto" w:fill="auto"/>
            <w:noWrap/>
            <w:vAlign w:val="center"/>
          </w:tcPr>
          <w:p>
            <w:pPr>
              <w:spacing w:line="240" w:lineRule="auto"/>
              <w:jc w:val="center"/>
              <w:rPr>
                <w:rFonts w:hint="eastAsia"/>
                <w:sz w:val="19"/>
              </w:rPr>
            </w:pPr>
            <w:r>
              <w:rPr>
                <w:rFonts w:hint="eastAsia"/>
                <w:sz w:val="19"/>
              </w:rPr>
              <w:t>大东沟社区广场</w:t>
            </w:r>
          </w:p>
        </w:tc>
        <w:tc>
          <w:tcPr>
            <w:tcW w:w="1978" w:type="pct"/>
            <w:shd w:val="clear" w:color="auto" w:fill="auto"/>
            <w:noWrap/>
            <w:vAlign w:val="center"/>
          </w:tcPr>
          <w:p>
            <w:pPr>
              <w:spacing w:line="240" w:lineRule="auto"/>
              <w:jc w:val="center"/>
              <w:rPr>
                <w:rFonts w:hint="eastAsia"/>
                <w:sz w:val="19"/>
              </w:rPr>
            </w:pPr>
            <w:r>
              <w:rPr>
                <w:rFonts w:hint="eastAsia"/>
                <w:sz w:val="19"/>
              </w:rPr>
              <w:t>大东沟社区广场</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3</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11</w:t>
            </w:r>
          </w:p>
        </w:tc>
        <w:tc>
          <w:tcPr>
            <w:tcW w:w="1168" w:type="pct"/>
            <w:shd w:val="clear" w:color="auto" w:fill="auto"/>
            <w:noWrap/>
            <w:vAlign w:val="center"/>
          </w:tcPr>
          <w:p>
            <w:pPr>
              <w:spacing w:line="240" w:lineRule="auto"/>
              <w:jc w:val="center"/>
              <w:rPr>
                <w:rFonts w:hint="eastAsia"/>
                <w:sz w:val="19"/>
              </w:rPr>
            </w:pPr>
            <w:r>
              <w:rPr>
                <w:rFonts w:hint="eastAsia"/>
                <w:sz w:val="19"/>
              </w:rPr>
              <w:t>静心岛景区</w:t>
            </w:r>
          </w:p>
        </w:tc>
        <w:tc>
          <w:tcPr>
            <w:tcW w:w="1978" w:type="pct"/>
            <w:shd w:val="clear" w:color="auto" w:fill="auto"/>
            <w:noWrap/>
            <w:vAlign w:val="center"/>
          </w:tcPr>
          <w:p>
            <w:pPr>
              <w:spacing w:line="240" w:lineRule="auto"/>
              <w:jc w:val="center"/>
              <w:rPr>
                <w:rFonts w:hint="eastAsia"/>
                <w:sz w:val="19"/>
              </w:rPr>
            </w:pPr>
            <w:r>
              <w:rPr>
                <w:rFonts w:hint="eastAsia"/>
                <w:sz w:val="19"/>
              </w:rPr>
              <w:t>本溪市桓仁满族自治县普乐堡镇大青沟村</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3</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12</w:t>
            </w:r>
          </w:p>
        </w:tc>
        <w:tc>
          <w:tcPr>
            <w:tcW w:w="1168" w:type="pct"/>
            <w:shd w:val="clear" w:color="auto" w:fill="auto"/>
            <w:noWrap/>
            <w:vAlign w:val="center"/>
          </w:tcPr>
          <w:p>
            <w:pPr>
              <w:spacing w:line="240" w:lineRule="auto"/>
              <w:jc w:val="center"/>
              <w:rPr>
                <w:rFonts w:hint="eastAsia"/>
                <w:sz w:val="19"/>
              </w:rPr>
            </w:pPr>
            <w:r>
              <w:rPr>
                <w:rFonts w:hint="eastAsia"/>
                <w:sz w:val="19"/>
              </w:rPr>
              <w:t>清泉山景区</w:t>
            </w:r>
          </w:p>
        </w:tc>
        <w:tc>
          <w:tcPr>
            <w:tcW w:w="1978" w:type="pct"/>
            <w:shd w:val="clear" w:color="auto" w:fill="auto"/>
            <w:noWrap/>
            <w:vAlign w:val="center"/>
          </w:tcPr>
          <w:p>
            <w:pPr>
              <w:spacing w:line="240" w:lineRule="auto"/>
              <w:jc w:val="center"/>
              <w:rPr>
                <w:rFonts w:hint="eastAsia"/>
                <w:sz w:val="19"/>
              </w:rPr>
            </w:pPr>
            <w:r>
              <w:rPr>
                <w:rFonts w:hint="eastAsia"/>
                <w:sz w:val="19"/>
              </w:rPr>
              <w:t>本溪市桓仁满族自治县普乐堡镇大青沟村</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3</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13</w:t>
            </w:r>
          </w:p>
        </w:tc>
        <w:tc>
          <w:tcPr>
            <w:tcW w:w="1168" w:type="pct"/>
            <w:shd w:val="clear" w:color="auto" w:fill="auto"/>
            <w:noWrap/>
            <w:vAlign w:val="center"/>
          </w:tcPr>
          <w:p>
            <w:pPr>
              <w:spacing w:line="240" w:lineRule="auto"/>
              <w:jc w:val="center"/>
              <w:rPr>
                <w:rFonts w:hint="eastAsia"/>
                <w:sz w:val="19"/>
              </w:rPr>
            </w:pPr>
            <w:r>
              <w:rPr>
                <w:rFonts w:hint="eastAsia"/>
                <w:sz w:val="19"/>
              </w:rPr>
              <w:t>大青沟村委会</w:t>
            </w:r>
          </w:p>
        </w:tc>
        <w:tc>
          <w:tcPr>
            <w:tcW w:w="1978" w:type="pct"/>
            <w:shd w:val="clear" w:color="auto" w:fill="auto"/>
            <w:noWrap/>
            <w:vAlign w:val="center"/>
          </w:tcPr>
          <w:p>
            <w:pPr>
              <w:spacing w:line="240" w:lineRule="auto"/>
              <w:jc w:val="center"/>
              <w:rPr>
                <w:rFonts w:hint="eastAsia"/>
                <w:sz w:val="19"/>
              </w:rPr>
            </w:pPr>
            <w:r>
              <w:rPr>
                <w:rFonts w:hint="eastAsia"/>
                <w:sz w:val="19"/>
              </w:rPr>
              <w:t>桓仁满族自治县201国道西50米</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3</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14</w:t>
            </w:r>
          </w:p>
        </w:tc>
        <w:tc>
          <w:tcPr>
            <w:tcW w:w="1168" w:type="pct"/>
            <w:shd w:val="clear" w:color="auto" w:fill="auto"/>
            <w:noWrap/>
            <w:vAlign w:val="center"/>
          </w:tcPr>
          <w:p>
            <w:pPr>
              <w:spacing w:line="240" w:lineRule="auto"/>
              <w:jc w:val="center"/>
              <w:rPr>
                <w:rFonts w:hint="eastAsia"/>
                <w:sz w:val="19"/>
              </w:rPr>
            </w:pPr>
            <w:r>
              <w:rPr>
                <w:rFonts w:hint="eastAsia"/>
                <w:sz w:val="19"/>
              </w:rPr>
              <w:t>老漫子村村委会</w:t>
            </w:r>
          </w:p>
        </w:tc>
        <w:tc>
          <w:tcPr>
            <w:tcW w:w="1978" w:type="pct"/>
            <w:shd w:val="clear" w:color="auto" w:fill="auto"/>
            <w:noWrap/>
            <w:vAlign w:val="center"/>
          </w:tcPr>
          <w:p>
            <w:pPr>
              <w:spacing w:line="240" w:lineRule="auto"/>
              <w:jc w:val="center"/>
              <w:rPr>
                <w:rFonts w:hint="eastAsia"/>
                <w:sz w:val="19"/>
              </w:rPr>
            </w:pPr>
            <w:r>
              <w:rPr>
                <w:rFonts w:hint="eastAsia"/>
                <w:sz w:val="19"/>
              </w:rPr>
              <w:t>桓仁满族自治县普乐堡镇</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3</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15</w:t>
            </w:r>
          </w:p>
        </w:tc>
        <w:tc>
          <w:tcPr>
            <w:tcW w:w="1168" w:type="pct"/>
            <w:shd w:val="clear" w:color="auto" w:fill="auto"/>
            <w:noWrap/>
            <w:vAlign w:val="center"/>
          </w:tcPr>
          <w:p>
            <w:pPr>
              <w:spacing w:line="240" w:lineRule="auto"/>
              <w:jc w:val="center"/>
              <w:rPr>
                <w:rFonts w:hint="eastAsia"/>
                <w:sz w:val="19"/>
              </w:rPr>
            </w:pPr>
            <w:r>
              <w:rPr>
                <w:rFonts w:hint="eastAsia"/>
                <w:sz w:val="19"/>
              </w:rPr>
              <w:t>木盂子村</w:t>
            </w:r>
          </w:p>
        </w:tc>
        <w:tc>
          <w:tcPr>
            <w:tcW w:w="1978" w:type="pct"/>
            <w:shd w:val="clear" w:color="auto" w:fill="auto"/>
            <w:noWrap/>
            <w:vAlign w:val="center"/>
          </w:tcPr>
          <w:p>
            <w:pPr>
              <w:spacing w:line="240" w:lineRule="auto"/>
              <w:jc w:val="center"/>
              <w:rPr>
                <w:rFonts w:hint="eastAsia"/>
                <w:sz w:val="19"/>
              </w:rPr>
            </w:pPr>
            <w:r>
              <w:rPr>
                <w:rFonts w:hint="eastAsia"/>
                <w:sz w:val="19"/>
              </w:rPr>
              <w:t>桓仁满族自治县富盂路与木桦线交叉路口往东约190米</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3</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16</w:t>
            </w:r>
          </w:p>
        </w:tc>
        <w:tc>
          <w:tcPr>
            <w:tcW w:w="1168" w:type="pct"/>
            <w:shd w:val="clear" w:color="auto" w:fill="auto"/>
            <w:noWrap/>
            <w:vAlign w:val="center"/>
          </w:tcPr>
          <w:p>
            <w:pPr>
              <w:spacing w:line="240" w:lineRule="auto"/>
              <w:jc w:val="center"/>
              <w:rPr>
                <w:rFonts w:hint="eastAsia"/>
                <w:sz w:val="19"/>
              </w:rPr>
            </w:pPr>
            <w:r>
              <w:rPr>
                <w:rFonts w:hint="eastAsia"/>
                <w:sz w:val="19"/>
              </w:rPr>
              <w:t>五女山山城</w:t>
            </w:r>
          </w:p>
        </w:tc>
        <w:tc>
          <w:tcPr>
            <w:tcW w:w="1978" w:type="pct"/>
            <w:shd w:val="clear" w:color="auto" w:fill="auto"/>
            <w:noWrap/>
            <w:vAlign w:val="center"/>
          </w:tcPr>
          <w:p>
            <w:pPr>
              <w:spacing w:line="240" w:lineRule="auto"/>
              <w:jc w:val="center"/>
              <w:rPr>
                <w:rFonts w:hint="eastAsia"/>
                <w:sz w:val="19"/>
              </w:rPr>
            </w:pPr>
            <w:r>
              <w:rPr>
                <w:rFonts w:hint="eastAsia"/>
                <w:sz w:val="19"/>
              </w:rPr>
              <w:t>桓仁满族自治县北侧8公里处浑江西北岸</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12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17</w:t>
            </w:r>
          </w:p>
        </w:tc>
        <w:tc>
          <w:tcPr>
            <w:tcW w:w="1168" w:type="pct"/>
            <w:shd w:val="clear" w:color="auto" w:fill="auto"/>
            <w:noWrap/>
            <w:vAlign w:val="center"/>
          </w:tcPr>
          <w:p>
            <w:pPr>
              <w:spacing w:line="240" w:lineRule="auto"/>
              <w:jc w:val="center"/>
              <w:rPr>
                <w:rFonts w:hint="eastAsia"/>
                <w:sz w:val="19"/>
              </w:rPr>
            </w:pPr>
            <w:r>
              <w:rPr>
                <w:rFonts w:hint="eastAsia"/>
                <w:sz w:val="19"/>
              </w:rPr>
              <w:t>大雅河漂流景区</w:t>
            </w:r>
          </w:p>
        </w:tc>
        <w:tc>
          <w:tcPr>
            <w:tcW w:w="1978" w:type="pct"/>
            <w:shd w:val="clear" w:color="auto" w:fill="auto"/>
            <w:noWrap/>
            <w:vAlign w:val="center"/>
          </w:tcPr>
          <w:p>
            <w:pPr>
              <w:spacing w:line="240" w:lineRule="auto"/>
              <w:jc w:val="center"/>
              <w:rPr>
                <w:rFonts w:hint="eastAsia"/>
                <w:sz w:val="19"/>
              </w:rPr>
            </w:pPr>
            <w:r>
              <w:rPr>
                <w:rFonts w:hint="eastAsia"/>
                <w:sz w:val="19"/>
              </w:rPr>
              <w:t>桓仁满族自治县普乐堡镇老漫子乡</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15</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18</w:t>
            </w:r>
          </w:p>
        </w:tc>
        <w:tc>
          <w:tcPr>
            <w:tcW w:w="1168" w:type="pct"/>
            <w:shd w:val="clear" w:color="auto" w:fill="auto"/>
            <w:noWrap/>
            <w:vAlign w:val="center"/>
          </w:tcPr>
          <w:p>
            <w:pPr>
              <w:spacing w:line="240" w:lineRule="auto"/>
              <w:jc w:val="center"/>
              <w:rPr>
                <w:rFonts w:hint="eastAsia"/>
                <w:sz w:val="19"/>
              </w:rPr>
            </w:pPr>
            <w:r>
              <w:rPr>
                <w:rFonts w:hint="eastAsia"/>
                <w:sz w:val="19"/>
              </w:rPr>
              <w:t>枫林谷森林公园</w:t>
            </w:r>
          </w:p>
        </w:tc>
        <w:tc>
          <w:tcPr>
            <w:tcW w:w="1978" w:type="pct"/>
            <w:shd w:val="clear" w:color="auto" w:fill="auto"/>
            <w:noWrap/>
            <w:vAlign w:val="center"/>
          </w:tcPr>
          <w:p>
            <w:pPr>
              <w:spacing w:line="240" w:lineRule="auto"/>
              <w:jc w:val="center"/>
              <w:rPr>
                <w:rFonts w:hint="eastAsia"/>
                <w:sz w:val="19"/>
              </w:rPr>
            </w:pPr>
            <w:r>
              <w:rPr>
                <w:rFonts w:hint="eastAsia"/>
                <w:sz w:val="19"/>
              </w:rPr>
              <w:t>本溪市桓仁满族自治县向阳乡G11</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12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19</w:t>
            </w:r>
          </w:p>
        </w:tc>
        <w:tc>
          <w:tcPr>
            <w:tcW w:w="1168" w:type="pct"/>
            <w:shd w:val="clear" w:color="auto" w:fill="auto"/>
            <w:noWrap/>
            <w:vAlign w:val="center"/>
          </w:tcPr>
          <w:p>
            <w:pPr>
              <w:spacing w:line="240" w:lineRule="auto"/>
              <w:jc w:val="center"/>
              <w:rPr>
                <w:rFonts w:hint="eastAsia"/>
                <w:sz w:val="19"/>
              </w:rPr>
            </w:pPr>
            <w:r>
              <w:rPr>
                <w:rFonts w:hint="eastAsia"/>
                <w:sz w:val="19"/>
              </w:rPr>
              <w:t>虎谷峡景区</w:t>
            </w:r>
          </w:p>
        </w:tc>
        <w:tc>
          <w:tcPr>
            <w:tcW w:w="1978" w:type="pct"/>
            <w:shd w:val="clear" w:color="auto" w:fill="auto"/>
            <w:noWrap/>
            <w:vAlign w:val="center"/>
          </w:tcPr>
          <w:p>
            <w:pPr>
              <w:spacing w:line="240" w:lineRule="auto"/>
              <w:jc w:val="center"/>
              <w:rPr>
                <w:rFonts w:hint="eastAsia"/>
                <w:sz w:val="19"/>
              </w:rPr>
            </w:pPr>
            <w:r>
              <w:rPr>
                <w:rFonts w:hint="eastAsia"/>
                <w:sz w:val="19"/>
              </w:rPr>
              <w:t>桓仁满族自治县向阳乡和平村8号</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15</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20</w:t>
            </w:r>
          </w:p>
        </w:tc>
        <w:tc>
          <w:tcPr>
            <w:tcW w:w="1168" w:type="pct"/>
            <w:shd w:val="clear" w:color="auto" w:fill="auto"/>
            <w:noWrap/>
            <w:vAlign w:val="center"/>
          </w:tcPr>
          <w:p>
            <w:pPr>
              <w:spacing w:line="240" w:lineRule="auto"/>
              <w:jc w:val="center"/>
              <w:rPr>
                <w:rFonts w:hint="eastAsia"/>
                <w:sz w:val="19"/>
              </w:rPr>
            </w:pPr>
            <w:r>
              <w:rPr>
                <w:rFonts w:hint="eastAsia"/>
                <w:sz w:val="19"/>
              </w:rPr>
              <w:t>桓仁满族自治县交通运输局</w:t>
            </w:r>
          </w:p>
        </w:tc>
        <w:tc>
          <w:tcPr>
            <w:tcW w:w="1978" w:type="pct"/>
            <w:shd w:val="clear" w:color="auto" w:fill="auto"/>
            <w:noWrap/>
            <w:vAlign w:val="center"/>
          </w:tcPr>
          <w:p>
            <w:pPr>
              <w:spacing w:line="240" w:lineRule="auto"/>
              <w:jc w:val="center"/>
              <w:rPr>
                <w:rFonts w:hint="eastAsia"/>
                <w:sz w:val="19"/>
              </w:rPr>
            </w:pPr>
            <w:r>
              <w:rPr>
                <w:rFonts w:hint="eastAsia"/>
                <w:sz w:val="19"/>
              </w:rPr>
              <w:t>院内</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3</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21</w:t>
            </w:r>
          </w:p>
        </w:tc>
        <w:tc>
          <w:tcPr>
            <w:tcW w:w="1168" w:type="pct"/>
            <w:shd w:val="clear" w:color="auto" w:fill="auto"/>
            <w:noWrap/>
            <w:vAlign w:val="center"/>
          </w:tcPr>
          <w:p>
            <w:pPr>
              <w:spacing w:line="240" w:lineRule="auto"/>
              <w:jc w:val="center"/>
              <w:rPr>
                <w:rFonts w:hint="eastAsia"/>
                <w:sz w:val="19"/>
              </w:rPr>
            </w:pPr>
            <w:r>
              <w:rPr>
                <w:rFonts w:hint="eastAsia"/>
                <w:sz w:val="19"/>
              </w:rPr>
              <w:t>桓仁满族自治县物流中心</w:t>
            </w:r>
          </w:p>
        </w:tc>
        <w:tc>
          <w:tcPr>
            <w:tcW w:w="1978" w:type="pct"/>
            <w:shd w:val="clear" w:color="auto" w:fill="auto"/>
            <w:noWrap/>
            <w:vAlign w:val="center"/>
          </w:tcPr>
          <w:p>
            <w:pPr>
              <w:spacing w:line="240" w:lineRule="auto"/>
              <w:jc w:val="center"/>
              <w:rPr>
                <w:rFonts w:hint="eastAsia"/>
                <w:sz w:val="19"/>
              </w:rPr>
            </w:pPr>
            <w:r>
              <w:rPr>
                <w:rFonts w:hint="eastAsia"/>
                <w:sz w:val="19"/>
              </w:rPr>
              <w:t>院内</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3</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22</w:t>
            </w:r>
          </w:p>
        </w:tc>
        <w:tc>
          <w:tcPr>
            <w:tcW w:w="1168" w:type="pct"/>
            <w:shd w:val="clear" w:color="auto" w:fill="auto"/>
            <w:noWrap/>
            <w:vAlign w:val="center"/>
          </w:tcPr>
          <w:p>
            <w:pPr>
              <w:spacing w:line="240" w:lineRule="auto"/>
              <w:jc w:val="center"/>
              <w:rPr>
                <w:rFonts w:hint="eastAsia"/>
                <w:sz w:val="19"/>
              </w:rPr>
            </w:pPr>
            <w:r>
              <w:rPr>
                <w:rFonts w:hint="eastAsia"/>
                <w:sz w:val="19"/>
              </w:rPr>
              <w:t>北岔村村部停车场</w:t>
            </w:r>
          </w:p>
        </w:tc>
        <w:tc>
          <w:tcPr>
            <w:tcW w:w="1978" w:type="pct"/>
            <w:shd w:val="clear" w:color="auto" w:fill="auto"/>
            <w:noWrap/>
            <w:vAlign w:val="center"/>
          </w:tcPr>
          <w:p>
            <w:pPr>
              <w:spacing w:line="240" w:lineRule="auto"/>
              <w:jc w:val="center"/>
              <w:rPr>
                <w:rFonts w:hint="eastAsia"/>
                <w:sz w:val="19"/>
              </w:rPr>
            </w:pPr>
            <w:r>
              <w:rPr>
                <w:rFonts w:hint="eastAsia"/>
                <w:sz w:val="19"/>
              </w:rPr>
              <w:t>桓仁满族自治县向阳乡北岔向北线北</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23</w:t>
            </w:r>
          </w:p>
        </w:tc>
        <w:tc>
          <w:tcPr>
            <w:tcW w:w="1168" w:type="pct"/>
            <w:shd w:val="clear" w:color="auto" w:fill="auto"/>
            <w:noWrap/>
            <w:vAlign w:val="center"/>
          </w:tcPr>
          <w:p>
            <w:pPr>
              <w:spacing w:line="240" w:lineRule="auto"/>
              <w:jc w:val="center"/>
              <w:rPr>
                <w:rFonts w:hint="eastAsia"/>
                <w:sz w:val="19"/>
              </w:rPr>
            </w:pPr>
            <w:r>
              <w:rPr>
                <w:rFonts w:hint="eastAsia"/>
                <w:sz w:val="19"/>
              </w:rPr>
              <w:t>向阳村村部停车场</w:t>
            </w:r>
          </w:p>
        </w:tc>
        <w:tc>
          <w:tcPr>
            <w:tcW w:w="1978" w:type="pct"/>
            <w:shd w:val="clear" w:color="auto" w:fill="auto"/>
            <w:noWrap/>
            <w:vAlign w:val="center"/>
          </w:tcPr>
          <w:p>
            <w:pPr>
              <w:spacing w:line="240" w:lineRule="auto"/>
              <w:jc w:val="center"/>
              <w:rPr>
                <w:rFonts w:hint="eastAsia"/>
                <w:sz w:val="19"/>
              </w:rPr>
            </w:pPr>
            <w:r>
              <w:rPr>
                <w:rFonts w:hint="eastAsia"/>
                <w:sz w:val="19"/>
              </w:rPr>
              <w:t>桓仁满族自治县凤向线与向双线交叉路口往北约120米</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24</w:t>
            </w:r>
          </w:p>
        </w:tc>
        <w:tc>
          <w:tcPr>
            <w:tcW w:w="1168" w:type="pct"/>
            <w:shd w:val="clear" w:color="auto" w:fill="auto"/>
            <w:noWrap/>
            <w:vAlign w:val="center"/>
          </w:tcPr>
          <w:p>
            <w:pPr>
              <w:spacing w:line="240" w:lineRule="auto"/>
              <w:jc w:val="center"/>
              <w:rPr>
                <w:rFonts w:hint="eastAsia"/>
                <w:sz w:val="19"/>
              </w:rPr>
            </w:pPr>
            <w:r>
              <w:rPr>
                <w:rFonts w:hint="eastAsia"/>
                <w:sz w:val="19"/>
              </w:rPr>
              <w:t>回龙山村村部停车场</w:t>
            </w:r>
          </w:p>
        </w:tc>
        <w:tc>
          <w:tcPr>
            <w:tcW w:w="1978" w:type="pct"/>
            <w:shd w:val="clear" w:color="auto" w:fill="auto"/>
            <w:noWrap/>
            <w:vAlign w:val="center"/>
          </w:tcPr>
          <w:p>
            <w:pPr>
              <w:spacing w:line="240" w:lineRule="auto"/>
              <w:jc w:val="center"/>
              <w:rPr>
                <w:rFonts w:hint="eastAsia"/>
                <w:sz w:val="19"/>
              </w:rPr>
            </w:pPr>
            <w:r>
              <w:rPr>
                <w:rFonts w:hint="eastAsia"/>
                <w:sz w:val="19"/>
              </w:rPr>
              <w:t>桓仁满族自治县向阳乡爬宝线</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25</w:t>
            </w:r>
          </w:p>
        </w:tc>
        <w:tc>
          <w:tcPr>
            <w:tcW w:w="1168" w:type="pct"/>
            <w:shd w:val="clear" w:color="auto" w:fill="auto"/>
            <w:noWrap/>
            <w:vAlign w:val="center"/>
          </w:tcPr>
          <w:p>
            <w:pPr>
              <w:spacing w:line="240" w:lineRule="auto"/>
              <w:jc w:val="center"/>
              <w:rPr>
                <w:rFonts w:hint="eastAsia"/>
                <w:sz w:val="19"/>
              </w:rPr>
            </w:pPr>
            <w:r>
              <w:rPr>
                <w:rFonts w:hint="eastAsia"/>
                <w:sz w:val="19"/>
              </w:rPr>
              <w:t>爬宝山村村部停车场</w:t>
            </w:r>
          </w:p>
        </w:tc>
        <w:tc>
          <w:tcPr>
            <w:tcW w:w="1978" w:type="pct"/>
            <w:shd w:val="clear" w:color="auto" w:fill="auto"/>
            <w:noWrap/>
            <w:vAlign w:val="center"/>
          </w:tcPr>
          <w:p>
            <w:pPr>
              <w:spacing w:line="240" w:lineRule="auto"/>
              <w:jc w:val="center"/>
              <w:rPr>
                <w:rFonts w:hint="eastAsia"/>
                <w:sz w:val="19"/>
              </w:rPr>
            </w:pPr>
            <w:r>
              <w:rPr>
                <w:rFonts w:hint="eastAsia"/>
                <w:sz w:val="19"/>
              </w:rPr>
              <w:t>桓仁满族自治县向阳乡15爬宝线东30米</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26</w:t>
            </w:r>
          </w:p>
        </w:tc>
        <w:tc>
          <w:tcPr>
            <w:tcW w:w="1168" w:type="pct"/>
            <w:shd w:val="clear" w:color="auto" w:fill="auto"/>
            <w:noWrap/>
            <w:vAlign w:val="center"/>
          </w:tcPr>
          <w:p>
            <w:pPr>
              <w:spacing w:line="240" w:lineRule="auto"/>
              <w:jc w:val="center"/>
              <w:rPr>
                <w:rFonts w:hint="eastAsia"/>
                <w:sz w:val="19"/>
              </w:rPr>
            </w:pPr>
            <w:r>
              <w:rPr>
                <w:rFonts w:hint="eastAsia"/>
                <w:sz w:val="19"/>
              </w:rPr>
              <w:t>和平村村部停车场</w:t>
            </w:r>
          </w:p>
        </w:tc>
        <w:tc>
          <w:tcPr>
            <w:tcW w:w="1978" w:type="pct"/>
            <w:shd w:val="clear" w:color="auto" w:fill="auto"/>
            <w:noWrap/>
            <w:vAlign w:val="center"/>
          </w:tcPr>
          <w:p>
            <w:pPr>
              <w:spacing w:line="240" w:lineRule="auto"/>
              <w:jc w:val="center"/>
              <w:rPr>
                <w:rFonts w:hint="eastAsia"/>
                <w:sz w:val="19"/>
              </w:rPr>
            </w:pPr>
            <w:r>
              <w:rPr>
                <w:rFonts w:hint="eastAsia"/>
                <w:sz w:val="19"/>
              </w:rPr>
              <w:t>本溪市桓仁满族自治县向阳乡</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27</w:t>
            </w:r>
          </w:p>
        </w:tc>
        <w:tc>
          <w:tcPr>
            <w:tcW w:w="1168" w:type="pct"/>
            <w:shd w:val="clear" w:color="auto" w:fill="auto"/>
            <w:noWrap/>
            <w:vAlign w:val="center"/>
          </w:tcPr>
          <w:p>
            <w:pPr>
              <w:spacing w:line="240" w:lineRule="auto"/>
              <w:jc w:val="center"/>
              <w:rPr>
                <w:rFonts w:hint="eastAsia"/>
                <w:sz w:val="19"/>
              </w:rPr>
            </w:pPr>
            <w:r>
              <w:rPr>
                <w:rFonts w:hint="eastAsia"/>
                <w:sz w:val="19"/>
              </w:rPr>
              <w:t>普乐堡镇夹道子村村部</w:t>
            </w:r>
          </w:p>
        </w:tc>
        <w:tc>
          <w:tcPr>
            <w:tcW w:w="1978" w:type="pct"/>
            <w:shd w:val="clear" w:color="auto" w:fill="auto"/>
            <w:noWrap/>
            <w:vAlign w:val="center"/>
          </w:tcPr>
          <w:p>
            <w:pPr>
              <w:spacing w:line="240" w:lineRule="auto"/>
              <w:jc w:val="center"/>
              <w:rPr>
                <w:rFonts w:hint="eastAsia"/>
                <w:sz w:val="19"/>
              </w:rPr>
            </w:pPr>
            <w:r>
              <w:rPr>
                <w:rFonts w:hint="eastAsia"/>
                <w:sz w:val="19"/>
              </w:rPr>
              <w:t>桓仁满族自治县普乐堡镇老夹线</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28</w:t>
            </w:r>
          </w:p>
        </w:tc>
        <w:tc>
          <w:tcPr>
            <w:tcW w:w="1168" w:type="pct"/>
            <w:shd w:val="clear" w:color="auto" w:fill="auto"/>
            <w:noWrap/>
            <w:vAlign w:val="center"/>
          </w:tcPr>
          <w:p>
            <w:pPr>
              <w:spacing w:line="240" w:lineRule="auto"/>
              <w:jc w:val="center"/>
              <w:rPr>
                <w:rFonts w:hint="eastAsia"/>
                <w:sz w:val="19"/>
              </w:rPr>
            </w:pPr>
            <w:r>
              <w:rPr>
                <w:rFonts w:hint="eastAsia"/>
                <w:sz w:val="19"/>
              </w:rPr>
              <w:t>梨树村村部</w:t>
            </w:r>
          </w:p>
        </w:tc>
        <w:tc>
          <w:tcPr>
            <w:tcW w:w="1978" w:type="pct"/>
            <w:shd w:val="clear" w:color="auto" w:fill="auto"/>
            <w:noWrap/>
            <w:vAlign w:val="center"/>
          </w:tcPr>
          <w:p>
            <w:pPr>
              <w:spacing w:line="240" w:lineRule="auto"/>
              <w:jc w:val="center"/>
              <w:rPr>
                <w:rFonts w:hint="eastAsia"/>
                <w:sz w:val="19"/>
              </w:rPr>
            </w:pPr>
            <w:r>
              <w:rPr>
                <w:rFonts w:hint="eastAsia"/>
                <w:sz w:val="19"/>
              </w:rPr>
              <w:t>桓仁满族自治县桓仁镇大雅河西街10</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29</w:t>
            </w:r>
          </w:p>
        </w:tc>
        <w:tc>
          <w:tcPr>
            <w:tcW w:w="1168" w:type="pct"/>
            <w:shd w:val="clear" w:color="auto" w:fill="auto"/>
            <w:noWrap/>
            <w:vAlign w:val="center"/>
          </w:tcPr>
          <w:p>
            <w:pPr>
              <w:spacing w:line="240" w:lineRule="auto"/>
              <w:jc w:val="center"/>
              <w:rPr>
                <w:rFonts w:hint="eastAsia"/>
                <w:sz w:val="19"/>
              </w:rPr>
            </w:pPr>
            <w:r>
              <w:rPr>
                <w:rFonts w:hint="eastAsia"/>
                <w:sz w:val="19"/>
              </w:rPr>
              <w:t>瓦房村部</w:t>
            </w:r>
          </w:p>
        </w:tc>
        <w:tc>
          <w:tcPr>
            <w:tcW w:w="1978" w:type="pct"/>
            <w:shd w:val="clear" w:color="auto" w:fill="auto"/>
            <w:noWrap/>
            <w:vAlign w:val="center"/>
          </w:tcPr>
          <w:p>
            <w:pPr>
              <w:spacing w:line="240" w:lineRule="auto"/>
              <w:jc w:val="center"/>
              <w:rPr>
                <w:rFonts w:hint="eastAsia"/>
                <w:sz w:val="19"/>
              </w:rPr>
            </w:pPr>
            <w:r>
              <w:rPr>
                <w:rFonts w:hint="eastAsia"/>
                <w:sz w:val="19"/>
              </w:rPr>
              <w:t>普乐堡镇508县道</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30</w:t>
            </w:r>
          </w:p>
        </w:tc>
        <w:tc>
          <w:tcPr>
            <w:tcW w:w="1168" w:type="pct"/>
            <w:shd w:val="clear" w:color="auto" w:fill="auto"/>
            <w:noWrap/>
            <w:vAlign w:val="center"/>
          </w:tcPr>
          <w:p>
            <w:pPr>
              <w:spacing w:line="240" w:lineRule="auto"/>
              <w:jc w:val="center"/>
              <w:rPr>
                <w:rFonts w:hint="eastAsia"/>
                <w:sz w:val="19"/>
              </w:rPr>
            </w:pPr>
            <w:r>
              <w:rPr>
                <w:rFonts w:hint="eastAsia"/>
                <w:sz w:val="19"/>
              </w:rPr>
              <w:t>英英沟村</w:t>
            </w:r>
          </w:p>
        </w:tc>
        <w:tc>
          <w:tcPr>
            <w:tcW w:w="1978" w:type="pct"/>
            <w:shd w:val="clear" w:color="auto" w:fill="auto"/>
            <w:noWrap/>
            <w:vAlign w:val="center"/>
          </w:tcPr>
          <w:p>
            <w:pPr>
              <w:spacing w:line="240" w:lineRule="auto"/>
              <w:jc w:val="center"/>
              <w:rPr>
                <w:rFonts w:hint="eastAsia"/>
                <w:sz w:val="19"/>
              </w:rPr>
            </w:pPr>
            <w:r>
              <w:rPr>
                <w:rFonts w:hint="eastAsia"/>
                <w:sz w:val="19"/>
              </w:rPr>
              <w:t>英英沟村村文化广场</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31</w:t>
            </w:r>
          </w:p>
        </w:tc>
        <w:tc>
          <w:tcPr>
            <w:tcW w:w="1168" w:type="pct"/>
            <w:shd w:val="clear" w:color="auto" w:fill="auto"/>
            <w:noWrap/>
            <w:vAlign w:val="center"/>
          </w:tcPr>
          <w:p>
            <w:pPr>
              <w:spacing w:line="240" w:lineRule="auto"/>
              <w:jc w:val="center"/>
              <w:rPr>
                <w:rFonts w:hint="eastAsia"/>
                <w:sz w:val="19"/>
              </w:rPr>
            </w:pPr>
            <w:r>
              <w:rPr>
                <w:rFonts w:hint="eastAsia"/>
                <w:sz w:val="19"/>
              </w:rPr>
              <w:t>北甸子村</w:t>
            </w:r>
          </w:p>
        </w:tc>
        <w:tc>
          <w:tcPr>
            <w:tcW w:w="1978" w:type="pct"/>
            <w:shd w:val="clear" w:color="auto" w:fill="auto"/>
            <w:noWrap/>
            <w:vAlign w:val="center"/>
          </w:tcPr>
          <w:p>
            <w:pPr>
              <w:spacing w:line="240" w:lineRule="auto"/>
              <w:jc w:val="center"/>
              <w:rPr>
                <w:rFonts w:hint="eastAsia"/>
                <w:sz w:val="19"/>
              </w:rPr>
            </w:pPr>
            <w:r>
              <w:rPr>
                <w:rFonts w:hint="eastAsia"/>
                <w:sz w:val="19"/>
              </w:rPr>
              <w:t>北甸子村村文化广场</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32</w:t>
            </w:r>
          </w:p>
        </w:tc>
        <w:tc>
          <w:tcPr>
            <w:tcW w:w="1168" w:type="pct"/>
            <w:shd w:val="clear" w:color="auto" w:fill="auto"/>
            <w:noWrap/>
            <w:vAlign w:val="center"/>
          </w:tcPr>
          <w:p>
            <w:pPr>
              <w:spacing w:line="240" w:lineRule="auto"/>
              <w:jc w:val="center"/>
              <w:rPr>
                <w:rFonts w:hint="eastAsia"/>
                <w:sz w:val="19"/>
              </w:rPr>
            </w:pPr>
            <w:r>
              <w:rPr>
                <w:rFonts w:hint="eastAsia"/>
                <w:sz w:val="19"/>
              </w:rPr>
              <w:t>长春沟村</w:t>
            </w:r>
          </w:p>
        </w:tc>
        <w:tc>
          <w:tcPr>
            <w:tcW w:w="1978" w:type="pct"/>
            <w:shd w:val="clear" w:color="auto" w:fill="auto"/>
            <w:noWrap/>
            <w:vAlign w:val="center"/>
          </w:tcPr>
          <w:p>
            <w:pPr>
              <w:spacing w:line="240" w:lineRule="auto"/>
              <w:jc w:val="center"/>
              <w:rPr>
                <w:rFonts w:hint="eastAsia"/>
                <w:sz w:val="19"/>
              </w:rPr>
            </w:pPr>
            <w:r>
              <w:rPr>
                <w:rFonts w:hint="eastAsia"/>
                <w:sz w:val="19"/>
              </w:rPr>
              <w:t>长春沟村文化广场</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33</w:t>
            </w:r>
          </w:p>
        </w:tc>
        <w:tc>
          <w:tcPr>
            <w:tcW w:w="1168" w:type="pct"/>
            <w:shd w:val="clear" w:color="auto" w:fill="auto"/>
            <w:noWrap/>
            <w:vAlign w:val="center"/>
          </w:tcPr>
          <w:p>
            <w:pPr>
              <w:spacing w:line="240" w:lineRule="auto"/>
              <w:jc w:val="center"/>
              <w:rPr>
                <w:rFonts w:hint="eastAsia"/>
                <w:sz w:val="19"/>
              </w:rPr>
            </w:pPr>
            <w:r>
              <w:rPr>
                <w:rFonts w:hint="eastAsia"/>
                <w:sz w:val="19"/>
              </w:rPr>
              <w:t>湾龙背村</w:t>
            </w:r>
          </w:p>
        </w:tc>
        <w:tc>
          <w:tcPr>
            <w:tcW w:w="1978" w:type="pct"/>
            <w:shd w:val="clear" w:color="auto" w:fill="auto"/>
            <w:noWrap/>
            <w:vAlign w:val="center"/>
          </w:tcPr>
          <w:p>
            <w:pPr>
              <w:spacing w:line="240" w:lineRule="auto"/>
              <w:jc w:val="center"/>
              <w:rPr>
                <w:rFonts w:hint="eastAsia"/>
                <w:sz w:val="19"/>
              </w:rPr>
            </w:pPr>
            <w:r>
              <w:rPr>
                <w:rFonts w:hint="eastAsia"/>
                <w:sz w:val="19"/>
              </w:rPr>
              <w:t>湾龙背村文化广场</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34</w:t>
            </w:r>
          </w:p>
        </w:tc>
        <w:tc>
          <w:tcPr>
            <w:tcW w:w="1168" w:type="pct"/>
            <w:shd w:val="clear" w:color="auto" w:fill="auto"/>
            <w:noWrap/>
            <w:vAlign w:val="center"/>
          </w:tcPr>
          <w:p>
            <w:pPr>
              <w:spacing w:line="240" w:lineRule="auto"/>
              <w:jc w:val="center"/>
              <w:rPr>
                <w:rFonts w:hint="eastAsia"/>
                <w:sz w:val="19"/>
              </w:rPr>
            </w:pPr>
            <w:r>
              <w:rPr>
                <w:rFonts w:hint="eastAsia"/>
                <w:sz w:val="19"/>
              </w:rPr>
              <w:t>友谊村</w:t>
            </w:r>
          </w:p>
        </w:tc>
        <w:tc>
          <w:tcPr>
            <w:tcW w:w="1978" w:type="pct"/>
            <w:shd w:val="clear" w:color="auto" w:fill="auto"/>
            <w:noWrap/>
            <w:vAlign w:val="center"/>
          </w:tcPr>
          <w:p>
            <w:pPr>
              <w:spacing w:line="240" w:lineRule="auto"/>
              <w:jc w:val="center"/>
              <w:rPr>
                <w:rFonts w:hint="eastAsia"/>
                <w:sz w:val="19"/>
              </w:rPr>
            </w:pPr>
            <w:r>
              <w:rPr>
                <w:rFonts w:hint="eastAsia"/>
                <w:sz w:val="19"/>
              </w:rPr>
              <w:t>友谊村文化广场</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35</w:t>
            </w:r>
          </w:p>
        </w:tc>
        <w:tc>
          <w:tcPr>
            <w:tcW w:w="1168" w:type="pct"/>
            <w:shd w:val="clear" w:color="auto" w:fill="auto"/>
            <w:noWrap/>
            <w:vAlign w:val="center"/>
          </w:tcPr>
          <w:p>
            <w:pPr>
              <w:spacing w:line="240" w:lineRule="auto"/>
              <w:jc w:val="center"/>
              <w:rPr>
                <w:rFonts w:hint="eastAsia"/>
                <w:sz w:val="19"/>
              </w:rPr>
            </w:pPr>
            <w:r>
              <w:rPr>
                <w:rFonts w:hint="eastAsia"/>
                <w:sz w:val="19"/>
              </w:rPr>
              <w:t>东堡村</w:t>
            </w:r>
          </w:p>
        </w:tc>
        <w:tc>
          <w:tcPr>
            <w:tcW w:w="1978" w:type="pct"/>
            <w:shd w:val="clear" w:color="auto" w:fill="auto"/>
            <w:noWrap/>
            <w:vAlign w:val="center"/>
          </w:tcPr>
          <w:p>
            <w:pPr>
              <w:spacing w:line="240" w:lineRule="auto"/>
              <w:jc w:val="center"/>
              <w:rPr>
                <w:rFonts w:hint="eastAsia"/>
                <w:sz w:val="19"/>
              </w:rPr>
            </w:pPr>
            <w:r>
              <w:rPr>
                <w:rFonts w:hint="eastAsia"/>
                <w:sz w:val="19"/>
              </w:rPr>
              <w:t>东堡村村部</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36</w:t>
            </w:r>
          </w:p>
        </w:tc>
        <w:tc>
          <w:tcPr>
            <w:tcW w:w="1168" w:type="pct"/>
            <w:shd w:val="clear" w:color="auto" w:fill="auto"/>
            <w:noWrap/>
            <w:vAlign w:val="center"/>
          </w:tcPr>
          <w:p>
            <w:pPr>
              <w:spacing w:line="240" w:lineRule="auto"/>
              <w:jc w:val="center"/>
              <w:rPr>
                <w:rFonts w:hint="eastAsia"/>
                <w:sz w:val="19"/>
              </w:rPr>
            </w:pPr>
            <w:r>
              <w:rPr>
                <w:rFonts w:hint="eastAsia"/>
                <w:sz w:val="19"/>
              </w:rPr>
              <w:t>西堡村</w:t>
            </w:r>
          </w:p>
        </w:tc>
        <w:tc>
          <w:tcPr>
            <w:tcW w:w="1978" w:type="pct"/>
            <w:shd w:val="clear" w:color="auto" w:fill="auto"/>
            <w:noWrap/>
            <w:vAlign w:val="center"/>
          </w:tcPr>
          <w:p>
            <w:pPr>
              <w:spacing w:line="240" w:lineRule="auto"/>
              <w:jc w:val="center"/>
              <w:rPr>
                <w:rFonts w:hint="eastAsia"/>
                <w:sz w:val="19"/>
              </w:rPr>
            </w:pPr>
            <w:r>
              <w:rPr>
                <w:rFonts w:hint="eastAsia"/>
                <w:sz w:val="19"/>
              </w:rPr>
              <w:t>西堡村村部</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37</w:t>
            </w:r>
          </w:p>
        </w:tc>
        <w:tc>
          <w:tcPr>
            <w:tcW w:w="1168" w:type="pct"/>
            <w:shd w:val="clear" w:color="auto" w:fill="auto"/>
            <w:noWrap/>
            <w:vAlign w:val="center"/>
          </w:tcPr>
          <w:p>
            <w:pPr>
              <w:spacing w:line="240" w:lineRule="auto"/>
              <w:jc w:val="center"/>
              <w:rPr>
                <w:rFonts w:hint="eastAsia"/>
                <w:sz w:val="19"/>
              </w:rPr>
            </w:pPr>
            <w:r>
              <w:rPr>
                <w:rFonts w:hint="eastAsia"/>
                <w:sz w:val="19"/>
              </w:rPr>
              <w:t>果松川村</w:t>
            </w:r>
          </w:p>
        </w:tc>
        <w:tc>
          <w:tcPr>
            <w:tcW w:w="1978" w:type="pct"/>
            <w:shd w:val="clear" w:color="auto" w:fill="auto"/>
            <w:noWrap/>
            <w:vAlign w:val="center"/>
          </w:tcPr>
          <w:p>
            <w:pPr>
              <w:spacing w:line="240" w:lineRule="auto"/>
              <w:jc w:val="center"/>
              <w:rPr>
                <w:rFonts w:hint="eastAsia"/>
                <w:sz w:val="19"/>
              </w:rPr>
            </w:pPr>
            <w:r>
              <w:rPr>
                <w:rFonts w:hint="eastAsia"/>
                <w:sz w:val="19"/>
              </w:rPr>
              <w:t>果松川村村部</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38</w:t>
            </w:r>
          </w:p>
        </w:tc>
        <w:tc>
          <w:tcPr>
            <w:tcW w:w="1168" w:type="pct"/>
            <w:shd w:val="clear" w:color="auto" w:fill="auto"/>
            <w:noWrap/>
            <w:vAlign w:val="center"/>
          </w:tcPr>
          <w:p>
            <w:pPr>
              <w:spacing w:line="240" w:lineRule="auto"/>
              <w:jc w:val="center"/>
              <w:rPr>
                <w:rFonts w:hint="eastAsia"/>
                <w:sz w:val="19"/>
              </w:rPr>
            </w:pPr>
            <w:r>
              <w:rPr>
                <w:rFonts w:hint="eastAsia"/>
                <w:sz w:val="19"/>
              </w:rPr>
              <w:t>大恩堡村</w:t>
            </w:r>
          </w:p>
        </w:tc>
        <w:tc>
          <w:tcPr>
            <w:tcW w:w="1978" w:type="pct"/>
            <w:shd w:val="clear" w:color="auto" w:fill="auto"/>
            <w:noWrap/>
            <w:vAlign w:val="center"/>
          </w:tcPr>
          <w:p>
            <w:pPr>
              <w:spacing w:line="240" w:lineRule="auto"/>
              <w:jc w:val="center"/>
              <w:rPr>
                <w:rFonts w:hint="eastAsia"/>
                <w:sz w:val="19"/>
              </w:rPr>
            </w:pPr>
            <w:r>
              <w:rPr>
                <w:rFonts w:hint="eastAsia"/>
                <w:sz w:val="19"/>
              </w:rPr>
              <w:t>大恩堡村村部</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39</w:t>
            </w:r>
          </w:p>
        </w:tc>
        <w:tc>
          <w:tcPr>
            <w:tcW w:w="1168" w:type="pct"/>
            <w:shd w:val="clear" w:color="auto" w:fill="auto"/>
            <w:noWrap/>
            <w:vAlign w:val="center"/>
          </w:tcPr>
          <w:p>
            <w:pPr>
              <w:spacing w:line="240" w:lineRule="auto"/>
              <w:jc w:val="center"/>
              <w:rPr>
                <w:rFonts w:hint="eastAsia"/>
                <w:sz w:val="19"/>
              </w:rPr>
            </w:pPr>
            <w:r>
              <w:rPr>
                <w:rFonts w:hint="eastAsia"/>
                <w:sz w:val="19"/>
              </w:rPr>
              <w:t>冯家堡村</w:t>
            </w:r>
          </w:p>
        </w:tc>
        <w:tc>
          <w:tcPr>
            <w:tcW w:w="1978" w:type="pct"/>
            <w:shd w:val="clear" w:color="auto" w:fill="auto"/>
            <w:noWrap/>
            <w:vAlign w:val="center"/>
          </w:tcPr>
          <w:p>
            <w:pPr>
              <w:spacing w:line="240" w:lineRule="auto"/>
              <w:jc w:val="center"/>
              <w:rPr>
                <w:rFonts w:hint="eastAsia"/>
                <w:sz w:val="19"/>
              </w:rPr>
            </w:pPr>
            <w:r>
              <w:rPr>
                <w:rFonts w:hint="eastAsia"/>
                <w:sz w:val="19"/>
              </w:rPr>
              <w:t>冯家堡村村部</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40</w:t>
            </w:r>
          </w:p>
        </w:tc>
        <w:tc>
          <w:tcPr>
            <w:tcW w:w="1168" w:type="pct"/>
            <w:shd w:val="clear" w:color="auto" w:fill="auto"/>
            <w:noWrap/>
            <w:vAlign w:val="center"/>
          </w:tcPr>
          <w:p>
            <w:pPr>
              <w:spacing w:line="240" w:lineRule="auto"/>
              <w:jc w:val="center"/>
              <w:rPr>
                <w:rFonts w:hint="eastAsia"/>
                <w:sz w:val="19"/>
              </w:rPr>
            </w:pPr>
            <w:r>
              <w:rPr>
                <w:rFonts w:hint="eastAsia"/>
                <w:sz w:val="19"/>
              </w:rPr>
              <w:t>柳林子村</w:t>
            </w:r>
          </w:p>
        </w:tc>
        <w:tc>
          <w:tcPr>
            <w:tcW w:w="1978" w:type="pct"/>
            <w:shd w:val="clear" w:color="auto" w:fill="auto"/>
            <w:noWrap/>
            <w:vAlign w:val="center"/>
          </w:tcPr>
          <w:p>
            <w:pPr>
              <w:spacing w:line="240" w:lineRule="auto"/>
              <w:jc w:val="center"/>
              <w:rPr>
                <w:rFonts w:hint="eastAsia"/>
                <w:sz w:val="19"/>
              </w:rPr>
            </w:pPr>
            <w:r>
              <w:rPr>
                <w:rFonts w:hint="eastAsia"/>
                <w:sz w:val="19"/>
              </w:rPr>
              <w:t>柳林子村村部</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41</w:t>
            </w:r>
          </w:p>
        </w:tc>
        <w:tc>
          <w:tcPr>
            <w:tcW w:w="1168" w:type="pct"/>
            <w:shd w:val="clear" w:color="auto" w:fill="auto"/>
            <w:noWrap/>
            <w:vAlign w:val="center"/>
          </w:tcPr>
          <w:p>
            <w:pPr>
              <w:spacing w:line="240" w:lineRule="auto"/>
              <w:jc w:val="center"/>
              <w:rPr>
                <w:rFonts w:hint="eastAsia"/>
                <w:sz w:val="19"/>
              </w:rPr>
            </w:pPr>
            <w:r>
              <w:rPr>
                <w:rFonts w:hint="eastAsia"/>
                <w:sz w:val="19"/>
              </w:rPr>
              <w:t>拉古甲村</w:t>
            </w:r>
          </w:p>
        </w:tc>
        <w:tc>
          <w:tcPr>
            <w:tcW w:w="1978" w:type="pct"/>
            <w:shd w:val="clear" w:color="auto" w:fill="auto"/>
            <w:noWrap/>
            <w:vAlign w:val="center"/>
          </w:tcPr>
          <w:p>
            <w:pPr>
              <w:spacing w:line="240" w:lineRule="auto"/>
              <w:jc w:val="center"/>
              <w:rPr>
                <w:rFonts w:hint="eastAsia"/>
                <w:sz w:val="19"/>
              </w:rPr>
            </w:pPr>
            <w:r>
              <w:rPr>
                <w:rFonts w:hint="eastAsia"/>
                <w:sz w:val="19"/>
              </w:rPr>
              <w:t>拉古甲村村部</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42</w:t>
            </w:r>
          </w:p>
        </w:tc>
        <w:tc>
          <w:tcPr>
            <w:tcW w:w="1168" w:type="pct"/>
            <w:shd w:val="clear" w:color="auto" w:fill="auto"/>
            <w:noWrap/>
            <w:vAlign w:val="center"/>
          </w:tcPr>
          <w:p>
            <w:pPr>
              <w:spacing w:line="240" w:lineRule="auto"/>
              <w:jc w:val="center"/>
              <w:rPr>
                <w:rFonts w:hint="eastAsia"/>
                <w:sz w:val="19"/>
              </w:rPr>
            </w:pPr>
            <w:r>
              <w:rPr>
                <w:rFonts w:hint="eastAsia"/>
                <w:sz w:val="19"/>
              </w:rPr>
              <w:t>光复村</w:t>
            </w:r>
          </w:p>
        </w:tc>
        <w:tc>
          <w:tcPr>
            <w:tcW w:w="1978" w:type="pct"/>
            <w:shd w:val="clear" w:color="auto" w:fill="auto"/>
            <w:noWrap/>
            <w:vAlign w:val="center"/>
          </w:tcPr>
          <w:p>
            <w:pPr>
              <w:spacing w:line="240" w:lineRule="auto"/>
              <w:jc w:val="center"/>
              <w:rPr>
                <w:rFonts w:hint="eastAsia"/>
                <w:sz w:val="19"/>
              </w:rPr>
            </w:pPr>
            <w:r>
              <w:rPr>
                <w:rFonts w:hint="eastAsia"/>
                <w:sz w:val="19"/>
              </w:rPr>
              <w:t>光复村村部</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43</w:t>
            </w:r>
          </w:p>
        </w:tc>
        <w:tc>
          <w:tcPr>
            <w:tcW w:w="1168" w:type="pct"/>
            <w:shd w:val="clear" w:color="auto" w:fill="auto"/>
            <w:noWrap/>
            <w:vAlign w:val="center"/>
          </w:tcPr>
          <w:p>
            <w:pPr>
              <w:spacing w:line="240" w:lineRule="auto"/>
              <w:jc w:val="center"/>
              <w:rPr>
                <w:rFonts w:hint="eastAsia"/>
                <w:sz w:val="19"/>
              </w:rPr>
            </w:pPr>
            <w:r>
              <w:rPr>
                <w:rFonts w:hint="eastAsia"/>
                <w:sz w:val="19"/>
              </w:rPr>
              <w:t>二户来村</w:t>
            </w:r>
          </w:p>
        </w:tc>
        <w:tc>
          <w:tcPr>
            <w:tcW w:w="1978" w:type="pct"/>
            <w:shd w:val="clear" w:color="auto" w:fill="auto"/>
            <w:noWrap/>
            <w:vAlign w:val="center"/>
          </w:tcPr>
          <w:p>
            <w:pPr>
              <w:spacing w:line="240" w:lineRule="auto"/>
              <w:jc w:val="center"/>
              <w:rPr>
                <w:rFonts w:hint="eastAsia"/>
                <w:sz w:val="19"/>
              </w:rPr>
            </w:pPr>
            <w:r>
              <w:rPr>
                <w:rFonts w:hint="eastAsia"/>
                <w:sz w:val="19"/>
              </w:rPr>
              <w:t>二户来村村部</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44</w:t>
            </w:r>
          </w:p>
        </w:tc>
        <w:tc>
          <w:tcPr>
            <w:tcW w:w="1168" w:type="pct"/>
            <w:shd w:val="clear" w:color="auto" w:fill="auto"/>
            <w:noWrap/>
            <w:vAlign w:val="center"/>
          </w:tcPr>
          <w:p>
            <w:pPr>
              <w:spacing w:line="240" w:lineRule="auto"/>
              <w:jc w:val="center"/>
              <w:rPr>
                <w:rFonts w:hint="eastAsia"/>
                <w:sz w:val="19"/>
              </w:rPr>
            </w:pPr>
            <w:r>
              <w:rPr>
                <w:rFonts w:hint="eastAsia"/>
                <w:sz w:val="19"/>
              </w:rPr>
              <w:t>二户来村</w:t>
            </w:r>
          </w:p>
        </w:tc>
        <w:tc>
          <w:tcPr>
            <w:tcW w:w="1978" w:type="pct"/>
            <w:shd w:val="clear" w:color="auto" w:fill="auto"/>
            <w:noWrap/>
            <w:vAlign w:val="center"/>
          </w:tcPr>
          <w:p>
            <w:pPr>
              <w:spacing w:line="240" w:lineRule="auto"/>
              <w:jc w:val="center"/>
              <w:rPr>
                <w:rFonts w:hint="eastAsia"/>
                <w:sz w:val="19"/>
              </w:rPr>
            </w:pPr>
            <w:r>
              <w:rPr>
                <w:rFonts w:hint="eastAsia"/>
                <w:sz w:val="19"/>
              </w:rPr>
              <w:t>华来林业局</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45</w:t>
            </w:r>
          </w:p>
        </w:tc>
        <w:tc>
          <w:tcPr>
            <w:tcW w:w="1168" w:type="pct"/>
            <w:shd w:val="clear" w:color="auto" w:fill="auto"/>
            <w:noWrap/>
            <w:vAlign w:val="center"/>
          </w:tcPr>
          <w:p>
            <w:pPr>
              <w:spacing w:line="240" w:lineRule="auto"/>
              <w:jc w:val="center"/>
              <w:rPr>
                <w:rFonts w:hint="eastAsia"/>
                <w:sz w:val="19"/>
              </w:rPr>
            </w:pPr>
            <w:r>
              <w:rPr>
                <w:rFonts w:hint="eastAsia"/>
                <w:sz w:val="19"/>
              </w:rPr>
              <w:t>二户来村</w:t>
            </w:r>
          </w:p>
        </w:tc>
        <w:tc>
          <w:tcPr>
            <w:tcW w:w="1978" w:type="pct"/>
            <w:shd w:val="clear" w:color="auto" w:fill="auto"/>
            <w:noWrap/>
            <w:vAlign w:val="center"/>
          </w:tcPr>
          <w:p>
            <w:pPr>
              <w:spacing w:line="240" w:lineRule="auto"/>
              <w:jc w:val="center"/>
              <w:rPr>
                <w:rFonts w:hint="eastAsia"/>
                <w:sz w:val="19"/>
              </w:rPr>
            </w:pPr>
            <w:r>
              <w:rPr>
                <w:rFonts w:hint="eastAsia"/>
                <w:sz w:val="19"/>
              </w:rPr>
              <w:t>华来镇派出所</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46</w:t>
            </w:r>
          </w:p>
        </w:tc>
        <w:tc>
          <w:tcPr>
            <w:tcW w:w="1168" w:type="pct"/>
            <w:shd w:val="clear" w:color="auto" w:fill="auto"/>
            <w:noWrap/>
            <w:vAlign w:val="center"/>
          </w:tcPr>
          <w:p>
            <w:pPr>
              <w:spacing w:line="240" w:lineRule="auto"/>
              <w:jc w:val="center"/>
              <w:rPr>
                <w:rFonts w:hint="eastAsia"/>
                <w:sz w:val="19"/>
              </w:rPr>
            </w:pPr>
            <w:r>
              <w:rPr>
                <w:rFonts w:hint="eastAsia"/>
                <w:sz w:val="19"/>
              </w:rPr>
              <w:t>碑登村</w:t>
            </w:r>
          </w:p>
        </w:tc>
        <w:tc>
          <w:tcPr>
            <w:tcW w:w="1978" w:type="pct"/>
            <w:shd w:val="clear" w:color="auto" w:fill="auto"/>
            <w:noWrap/>
            <w:vAlign w:val="center"/>
          </w:tcPr>
          <w:p>
            <w:pPr>
              <w:spacing w:line="240" w:lineRule="auto"/>
              <w:jc w:val="center"/>
              <w:rPr>
                <w:rFonts w:hint="eastAsia"/>
                <w:sz w:val="19"/>
              </w:rPr>
            </w:pPr>
            <w:r>
              <w:rPr>
                <w:rFonts w:hint="eastAsia"/>
                <w:sz w:val="19"/>
              </w:rPr>
              <w:t>碑登村村部</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47</w:t>
            </w:r>
          </w:p>
        </w:tc>
        <w:tc>
          <w:tcPr>
            <w:tcW w:w="1168" w:type="pct"/>
            <w:shd w:val="clear" w:color="auto" w:fill="auto"/>
            <w:noWrap/>
            <w:vAlign w:val="center"/>
          </w:tcPr>
          <w:p>
            <w:pPr>
              <w:spacing w:line="240" w:lineRule="auto"/>
              <w:jc w:val="center"/>
              <w:rPr>
                <w:rFonts w:hint="eastAsia"/>
                <w:sz w:val="19"/>
              </w:rPr>
            </w:pPr>
            <w:r>
              <w:rPr>
                <w:rFonts w:hint="eastAsia"/>
                <w:sz w:val="19"/>
              </w:rPr>
              <w:t>文治沟村</w:t>
            </w:r>
          </w:p>
        </w:tc>
        <w:tc>
          <w:tcPr>
            <w:tcW w:w="1978" w:type="pct"/>
            <w:shd w:val="clear" w:color="auto" w:fill="auto"/>
            <w:noWrap/>
            <w:vAlign w:val="center"/>
          </w:tcPr>
          <w:p>
            <w:pPr>
              <w:spacing w:line="240" w:lineRule="auto"/>
              <w:jc w:val="center"/>
              <w:rPr>
                <w:rFonts w:hint="eastAsia"/>
                <w:sz w:val="19"/>
              </w:rPr>
            </w:pPr>
            <w:r>
              <w:rPr>
                <w:rFonts w:hint="eastAsia"/>
                <w:sz w:val="19"/>
              </w:rPr>
              <w:t>文治沟村村部</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48</w:t>
            </w:r>
          </w:p>
        </w:tc>
        <w:tc>
          <w:tcPr>
            <w:tcW w:w="1168" w:type="pct"/>
            <w:shd w:val="clear" w:color="auto" w:fill="auto"/>
            <w:noWrap/>
            <w:vAlign w:val="center"/>
          </w:tcPr>
          <w:p>
            <w:pPr>
              <w:spacing w:line="240" w:lineRule="auto"/>
              <w:jc w:val="center"/>
              <w:rPr>
                <w:rFonts w:hint="eastAsia"/>
                <w:sz w:val="19"/>
              </w:rPr>
            </w:pPr>
            <w:r>
              <w:rPr>
                <w:rFonts w:hint="eastAsia"/>
                <w:sz w:val="19"/>
              </w:rPr>
              <w:t>川里村</w:t>
            </w:r>
          </w:p>
        </w:tc>
        <w:tc>
          <w:tcPr>
            <w:tcW w:w="1978" w:type="pct"/>
            <w:shd w:val="clear" w:color="auto" w:fill="auto"/>
            <w:noWrap/>
            <w:vAlign w:val="center"/>
          </w:tcPr>
          <w:p>
            <w:pPr>
              <w:spacing w:line="240" w:lineRule="auto"/>
              <w:jc w:val="center"/>
              <w:rPr>
                <w:rFonts w:hint="eastAsia"/>
                <w:sz w:val="19"/>
              </w:rPr>
            </w:pPr>
            <w:r>
              <w:rPr>
                <w:rFonts w:hint="eastAsia"/>
                <w:sz w:val="19"/>
              </w:rPr>
              <w:t>川里村村部</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49</w:t>
            </w:r>
          </w:p>
        </w:tc>
        <w:tc>
          <w:tcPr>
            <w:tcW w:w="1168" w:type="pct"/>
            <w:shd w:val="clear" w:color="auto" w:fill="auto"/>
            <w:noWrap/>
            <w:vAlign w:val="center"/>
          </w:tcPr>
          <w:p>
            <w:pPr>
              <w:spacing w:line="240" w:lineRule="auto"/>
              <w:jc w:val="center"/>
              <w:rPr>
                <w:rFonts w:hint="eastAsia"/>
                <w:sz w:val="19"/>
              </w:rPr>
            </w:pPr>
            <w:r>
              <w:rPr>
                <w:rFonts w:hint="eastAsia"/>
                <w:sz w:val="19"/>
              </w:rPr>
              <w:t>瓦尔喀什寨村</w:t>
            </w:r>
          </w:p>
        </w:tc>
        <w:tc>
          <w:tcPr>
            <w:tcW w:w="1978" w:type="pct"/>
            <w:shd w:val="clear" w:color="auto" w:fill="auto"/>
            <w:noWrap/>
            <w:vAlign w:val="center"/>
          </w:tcPr>
          <w:p>
            <w:pPr>
              <w:spacing w:line="240" w:lineRule="auto"/>
              <w:jc w:val="center"/>
              <w:rPr>
                <w:rFonts w:hint="eastAsia"/>
                <w:sz w:val="19"/>
              </w:rPr>
            </w:pPr>
            <w:r>
              <w:rPr>
                <w:rFonts w:hint="eastAsia"/>
                <w:sz w:val="19"/>
              </w:rPr>
              <w:t>瓦尔喀什寨村村部</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50</w:t>
            </w:r>
          </w:p>
        </w:tc>
        <w:tc>
          <w:tcPr>
            <w:tcW w:w="1168" w:type="pct"/>
            <w:shd w:val="clear" w:color="auto" w:fill="auto"/>
            <w:noWrap/>
            <w:vAlign w:val="center"/>
          </w:tcPr>
          <w:p>
            <w:pPr>
              <w:spacing w:line="240" w:lineRule="auto"/>
              <w:jc w:val="center"/>
              <w:rPr>
                <w:rFonts w:hint="eastAsia"/>
                <w:sz w:val="19"/>
              </w:rPr>
            </w:pPr>
            <w:r>
              <w:rPr>
                <w:rFonts w:hint="eastAsia"/>
                <w:sz w:val="19"/>
              </w:rPr>
              <w:t>石虎子村党建综合服务中心院内</w:t>
            </w:r>
          </w:p>
        </w:tc>
        <w:tc>
          <w:tcPr>
            <w:tcW w:w="1978" w:type="pct"/>
            <w:shd w:val="clear" w:color="auto" w:fill="auto"/>
            <w:noWrap/>
            <w:vAlign w:val="center"/>
          </w:tcPr>
          <w:p>
            <w:pPr>
              <w:spacing w:line="240" w:lineRule="auto"/>
              <w:jc w:val="center"/>
              <w:rPr>
                <w:rFonts w:hint="eastAsia"/>
                <w:sz w:val="19"/>
              </w:rPr>
            </w:pPr>
            <w:r>
              <w:rPr>
                <w:rFonts w:hint="eastAsia"/>
                <w:sz w:val="19"/>
              </w:rPr>
              <w:t>桓仁满族自治县二长线</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51</w:t>
            </w:r>
          </w:p>
        </w:tc>
        <w:tc>
          <w:tcPr>
            <w:tcW w:w="1168" w:type="pct"/>
            <w:shd w:val="clear" w:color="auto" w:fill="auto"/>
            <w:noWrap/>
            <w:vAlign w:val="center"/>
          </w:tcPr>
          <w:p>
            <w:pPr>
              <w:spacing w:line="240" w:lineRule="auto"/>
              <w:jc w:val="center"/>
              <w:rPr>
                <w:rFonts w:hint="eastAsia"/>
                <w:sz w:val="19"/>
              </w:rPr>
            </w:pPr>
            <w:r>
              <w:rPr>
                <w:rFonts w:hint="eastAsia"/>
                <w:sz w:val="19"/>
              </w:rPr>
              <w:t>四平村</w:t>
            </w:r>
          </w:p>
        </w:tc>
        <w:tc>
          <w:tcPr>
            <w:tcW w:w="1978" w:type="pct"/>
            <w:shd w:val="clear" w:color="auto" w:fill="auto"/>
            <w:noWrap/>
            <w:vAlign w:val="center"/>
          </w:tcPr>
          <w:p>
            <w:pPr>
              <w:spacing w:line="240" w:lineRule="auto"/>
              <w:jc w:val="center"/>
              <w:rPr>
                <w:rFonts w:hint="eastAsia"/>
                <w:sz w:val="19"/>
              </w:rPr>
            </w:pPr>
            <w:r>
              <w:rPr>
                <w:rFonts w:hint="eastAsia"/>
                <w:sz w:val="19"/>
              </w:rPr>
              <w:t>村委会</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52</w:t>
            </w:r>
          </w:p>
        </w:tc>
        <w:tc>
          <w:tcPr>
            <w:tcW w:w="1168" w:type="pct"/>
            <w:shd w:val="clear" w:color="auto" w:fill="auto"/>
            <w:noWrap/>
            <w:vAlign w:val="center"/>
          </w:tcPr>
          <w:p>
            <w:pPr>
              <w:spacing w:line="240" w:lineRule="auto"/>
              <w:jc w:val="center"/>
              <w:rPr>
                <w:rFonts w:hint="eastAsia"/>
                <w:sz w:val="19"/>
              </w:rPr>
            </w:pPr>
            <w:r>
              <w:rPr>
                <w:rFonts w:hint="eastAsia"/>
                <w:sz w:val="19"/>
              </w:rPr>
              <w:t>巨户沟</w:t>
            </w:r>
          </w:p>
        </w:tc>
        <w:tc>
          <w:tcPr>
            <w:tcW w:w="1978" w:type="pct"/>
            <w:shd w:val="clear" w:color="auto" w:fill="auto"/>
            <w:noWrap/>
            <w:vAlign w:val="center"/>
          </w:tcPr>
          <w:p>
            <w:pPr>
              <w:spacing w:line="240" w:lineRule="auto"/>
              <w:jc w:val="center"/>
              <w:rPr>
                <w:rFonts w:hint="eastAsia"/>
                <w:sz w:val="19"/>
              </w:rPr>
            </w:pPr>
            <w:r>
              <w:rPr>
                <w:rFonts w:hint="eastAsia"/>
                <w:sz w:val="19"/>
              </w:rPr>
              <w:t>巨户沟广场</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53</w:t>
            </w:r>
          </w:p>
        </w:tc>
        <w:tc>
          <w:tcPr>
            <w:tcW w:w="1168" w:type="pct"/>
            <w:shd w:val="clear" w:color="auto" w:fill="auto"/>
            <w:noWrap/>
            <w:vAlign w:val="center"/>
          </w:tcPr>
          <w:p>
            <w:pPr>
              <w:spacing w:line="240" w:lineRule="auto"/>
              <w:jc w:val="center"/>
              <w:rPr>
                <w:rFonts w:hint="eastAsia"/>
                <w:sz w:val="19"/>
              </w:rPr>
            </w:pPr>
            <w:r>
              <w:rPr>
                <w:rFonts w:hint="eastAsia"/>
                <w:sz w:val="19"/>
              </w:rPr>
              <w:t>横道川</w:t>
            </w:r>
          </w:p>
        </w:tc>
        <w:tc>
          <w:tcPr>
            <w:tcW w:w="1978" w:type="pct"/>
            <w:shd w:val="clear" w:color="auto" w:fill="auto"/>
            <w:noWrap/>
            <w:vAlign w:val="center"/>
          </w:tcPr>
          <w:p>
            <w:pPr>
              <w:spacing w:line="240" w:lineRule="auto"/>
              <w:jc w:val="center"/>
              <w:rPr>
                <w:rFonts w:hint="eastAsia"/>
                <w:sz w:val="19"/>
              </w:rPr>
            </w:pPr>
            <w:r>
              <w:rPr>
                <w:rFonts w:hint="eastAsia"/>
                <w:sz w:val="19"/>
              </w:rPr>
              <w:t>横道川广场</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54</w:t>
            </w:r>
          </w:p>
        </w:tc>
        <w:tc>
          <w:tcPr>
            <w:tcW w:w="1168" w:type="pct"/>
            <w:shd w:val="clear" w:color="auto" w:fill="auto"/>
            <w:noWrap/>
            <w:vAlign w:val="center"/>
          </w:tcPr>
          <w:p>
            <w:pPr>
              <w:spacing w:line="240" w:lineRule="auto"/>
              <w:jc w:val="center"/>
              <w:rPr>
                <w:rFonts w:hint="eastAsia"/>
                <w:sz w:val="19"/>
              </w:rPr>
            </w:pPr>
            <w:r>
              <w:rPr>
                <w:rFonts w:hint="eastAsia"/>
                <w:sz w:val="19"/>
              </w:rPr>
              <w:t>四道岭子</w:t>
            </w:r>
          </w:p>
        </w:tc>
        <w:tc>
          <w:tcPr>
            <w:tcW w:w="1978" w:type="pct"/>
            <w:shd w:val="clear" w:color="auto" w:fill="auto"/>
            <w:noWrap/>
            <w:vAlign w:val="center"/>
          </w:tcPr>
          <w:p>
            <w:pPr>
              <w:spacing w:line="240" w:lineRule="auto"/>
              <w:jc w:val="center"/>
              <w:rPr>
                <w:rFonts w:hint="eastAsia"/>
                <w:sz w:val="19"/>
              </w:rPr>
            </w:pPr>
            <w:r>
              <w:rPr>
                <w:rFonts w:hint="eastAsia"/>
                <w:sz w:val="19"/>
              </w:rPr>
              <w:t>村委会院内</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55</w:t>
            </w:r>
          </w:p>
        </w:tc>
        <w:tc>
          <w:tcPr>
            <w:tcW w:w="1168" w:type="pct"/>
            <w:shd w:val="clear" w:color="auto" w:fill="auto"/>
            <w:noWrap/>
            <w:vAlign w:val="center"/>
          </w:tcPr>
          <w:p>
            <w:pPr>
              <w:spacing w:line="240" w:lineRule="auto"/>
              <w:jc w:val="center"/>
              <w:rPr>
                <w:rFonts w:hint="eastAsia"/>
                <w:sz w:val="19"/>
              </w:rPr>
            </w:pPr>
            <w:r>
              <w:rPr>
                <w:rFonts w:hint="eastAsia"/>
                <w:sz w:val="19"/>
              </w:rPr>
              <w:t>鸡冠砬子村</w:t>
            </w:r>
          </w:p>
        </w:tc>
        <w:tc>
          <w:tcPr>
            <w:tcW w:w="1978" w:type="pct"/>
            <w:shd w:val="clear" w:color="auto" w:fill="auto"/>
            <w:noWrap/>
            <w:vAlign w:val="center"/>
          </w:tcPr>
          <w:p>
            <w:pPr>
              <w:spacing w:line="240" w:lineRule="auto"/>
              <w:jc w:val="center"/>
              <w:rPr>
                <w:rFonts w:hint="eastAsia"/>
                <w:sz w:val="19"/>
              </w:rPr>
            </w:pPr>
            <w:r>
              <w:rPr>
                <w:rFonts w:hint="eastAsia"/>
                <w:sz w:val="19"/>
              </w:rPr>
              <w:t>村委会院内</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56</w:t>
            </w:r>
          </w:p>
        </w:tc>
        <w:tc>
          <w:tcPr>
            <w:tcW w:w="1168" w:type="pct"/>
            <w:shd w:val="clear" w:color="auto" w:fill="auto"/>
            <w:noWrap/>
            <w:vAlign w:val="center"/>
          </w:tcPr>
          <w:p>
            <w:pPr>
              <w:spacing w:line="240" w:lineRule="auto"/>
              <w:jc w:val="center"/>
              <w:rPr>
                <w:rFonts w:hint="eastAsia"/>
                <w:sz w:val="19"/>
              </w:rPr>
            </w:pPr>
            <w:r>
              <w:rPr>
                <w:rFonts w:hint="eastAsia"/>
                <w:sz w:val="19"/>
              </w:rPr>
              <w:t>二棚甸子村</w:t>
            </w:r>
          </w:p>
        </w:tc>
        <w:tc>
          <w:tcPr>
            <w:tcW w:w="1978" w:type="pct"/>
            <w:shd w:val="clear" w:color="auto" w:fill="auto"/>
            <w:noWrap/>
            <w:vAlign w:val="center"/>
          </w:tcPr>
          <w:p>
            <w:pPr>
              <w:spacing w:line="240" w:lineRule="auto"/>
              <w:jc w:val="center"/>
              <w:rPr>
                <w:rFonts w:hint="eastAsia"/>
                <w:sz w:val="19"/>
              </w:rPr>
            </w:pPr>
            <w:r>
              <w:rPr>
                <w:rFonts w:hint="eastAsia"/>
                <w:sz w:val="19"/>
              </w:rPr>
              <w:t>村委会院内</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57</w:t>
            </w:r>
          </w:p>
        </w:tc>
        <w:tc>
          <w:tcPr>
            <w:tcW w:w="1168" w:type="pct"/>
            <w:shd w:val="clear" w:color="auto" w:fill="auto"/>
            <w:noWrap/>
            <w:vAlign w:val="center"/>
          </w:tcPr>
          <w:p>
            <w:pPr>
              <w:spacing w:line="240" w:lineRule="auto"/>
              <w:jc w:val="center"/>
              <w:rPr>
                <w:rFonts w:hint="eastAsia"/>
                <w:sz w:val="19"/>
              </w:rPr>
            </w:pPr>
            <w:r>
              <w:rPr>
                <w:rFonts w:hint="eastAsia"/>
                <w:sz w:val="19"/>
              </w:rPr>
              <w:t>卫星社区</w:t>
            </w:r>
          </w:p>
        </w:tc>
        <w:tc>
          <w:tcPr>
            <w:tcW w:w="1978" w:type="pct"/>
            <w:shd w:val="clear" w:color="auto" w:fill="auto"/>
            <w:noWrap/>
            <w:vAlign w:val="center"/>
          </w:tcPr>
          <w:p>
            <w:pPr>
              <w:spacing w:line="240" w:lineRule="auto"/>
              <w:jc w:val="center"/>
              <w:rPr>
                <w:rFonts w:hint="eastAsia"/>
                <w:sz w:val="19"/>
              </w:rPr>
            </w:pPr>
            <w:r>
              <w:rPr>
                <w:rFonts w:hint="eastAsia"/>
                <w:sz w:val="19"/>
              </w:rPr>
              <w:t>居委会门口</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58</w:t>
            </w:r>
          </w:p>
        </w:tc>
        <w:tc>
          <w:tcPr>
            <w:tcW w:w="1168" w:type="pct"/>
            <w:shd w:val="clear" w:color="auto" w:fill="auto"/>
            <w:noWrap/>
            <w:vAlign w:val="center"/>
          </w:tcPr>
          <w:p>
            <w:pPr>
              <w:spacing w:line="240" w:lineRule="auto"/>
              <w:jc w:val="center"/>
              <w:rPr>
                <w:rFonts w:hint="eastAsia"/>
                <w:sz w:val="19"/>
              </w:rPr>
            </w:pPr>
            <w:r>
              <w:rPr>
                <w:rFonts w:hint="eastAsia"/>
                <w:sz w:val="19"/>
              </w:rPr>
              <w:t>东风社区</w:t>
            </w:r>
          </w:p>
        </w:tc>
        <w:tc>
          <w:tcPr>
            <w:tcW w:w="1978" w:type="pct"/>
            <w:shd w:val="clear" w:color="auto" w:fill="auto"/>
            <w:noWrap/>
            <w:vAlign w:val="center"/>
          </w:tcPr>
          <w:p>
            <w:pPr>
              <w:spacing w:line="240" w:lineRule="auto"/>
              <w:jc w:val="center"/>
              <w:rPr>
                <w:rFonts w:hint="eastAsia"/>
                <w:sz w:val="19"/>
              </w:rPr>
            </w:pPr>
            <w:r>
              <w:rPr>
                <w:rFonts w:hint="eastAsia"/>
                <w:sz w:val="19"/>
              </w:rPr>
              <w:t>居委会门口</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59</w:t>
            </w:r>
          </w:p>
        </w:tc>
        <w:tc>
          <w:tcPr>
            <w:tcW w:w="1168" w:type="pct"/>
            <w:shd w:val="clear" w:color="auto" w:fill="auto"/>
            <w:noWrap/>
            <w:vAlign w:val="center"/>
          </w:tcPr>
          <w:p>
            <w:pPr>
              <w:spacing w:line="240" w:lineRule="auto"/>
              <w:jc w:val="center"/>
              <w:rPr>
                <w:rFonts w:hint="eastAsia"/>
                <w:sz w:val="19"/>
              </w:rPr>
            </w:pPr>
            <w:r>
              <w:rPr>
                <w:rFonts w:hint="eastAsia"/>
                <w:sz w:val="19"/>
              </w:rPr>
              <w:t>松兰社区</w:t>
            </w:r>
          </w:p>
        </w:tc>
        <w:tc>
          <w:tcPr>
            <w:tcW w:w="1978" w:type="pct"/>
            <w:shd w:val="clear" w:color="auto" w:fill="auto"/>
            <w:noWrap/>
            <w:vAlign w:val="center"/>
          </w:tcPr>
          <w:p>
            <w:pPr>
              <w:spacing w:line="240" w:lineRule="auto"/>
              <w:jc w:val="center"/>
              <w:rPr>
                <w:rFonts w:hint="eastAsia"/>
                <w:sz w:val="19"/>
              </w:rPr>
            </w:pPr>
            <w:r>
              <w:rPr>
                <w:rFonts w:hint="eastAsia"/>
                <w:sz w:val="19"/>
              </w:rPr>
              <w:t>居委会门口</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60</w:t>
            </w:r>
          </w:p>
        </w:tc>
        <w:tc>
          <w:tcPr>
            <w:tcW w:w="1168" w:type="pct"/>
            <w:shd w:val="clear" w:color="auto" w:fill="auto"/>
            <w:noWrap/>
            <w:vAlign w:val="center"/>
          </w:tcPr>
          <w:p>
            <w:pPr>
              <w:spacing w:line="240" w:lineRule="auto"/>
              <w:jc w:val="center"/>
              <w:rPr>
                <w:rFonts w:hint="eastAsia"/>
                <w:sz w:val="19"/>
              </w:rPr>
            </w:pPr>
            <w:r>
              <w:rPr>
                <w:rFonts w:hint="eastAsia"/>
                <w:sz w:val="19"/>
              </w:rPr>
              <w:t>北沟村</w:t>
            </w:r>
          </w:p>
        </w:tc>
        <w:tc>
          <w:tcPr>
            <w:tcW w:w="1978" w:type="pct"/>
            <w:shd w:val="clear" w:color="auto" w:fill="auto"/>
            <w:noWrap/>
            <w:vAlign w:val="center"/>
          </w:tcPr>
          <w:p>
            <w:pPr>
              <w:spacing w:line="240" w:lineRule="auto"/>
              <w:jc w:val="center"/>
              <w:rPr>
                <w:rFonts w:hint="eastAsia"/>
                <w:sz w:val="19"/>
              </w:rPr>
            </w:pPr>
            <w:r>
              <w:rPr>
                <w:rFonts w:hint="eastAsia"/>
                <w:sz w:val="19"/>
              </w:rPr>
              <w:t>村委会院内</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61</w:t>
            </w:r>
          </w:p>
        </w:tc>
        <w:tc>
          <w:tcPr>
            <w:tcW w:w="1168" w:type="pct"/>
            <w:shd w:val="clear" w:color="auto" w:fill="auto"/>
            <w:noWrap/>
            <w:vAlign w:val="center"/>
          </w:tcPr>
          <w:p>
            <w:pPr>
              <w:spacing w:line="240" w:lineRule="auto"/>
              <w:jc w:val="center"/>
              <w:rPr>
                <w:rFonts w:hint="eastAsia"/>
                <w:sz w:val="19"/>
              </w:rPr>
            </w:pPr>
            <w:r>
              <w:rPr>
                <w:rFonts w:hint="eastAsia"/>
                <w:sz w:val="19"/>
              </w:rPr>
              <w:t>沙尖子村</w:t>
            </w:r>
          </w:p>
        </w:tc>
        <w:tc>
          <w:tcPr>
            <w:tcW w:w="1978" w:type="pct"/>
            <w:shd w:val="clear" w:color="auto" w:fill="auto"/>
            <w:noWrap/>
            <w:vAlign w:val="center"/>
          </w:tcPr>
          <w:p>
            <w:pPr>
              <w:spacing w:line="240" w:lineRule="auto"/>
              <w:jc w:val="center"/>
              <w:rPr>
                <w:rFonts w:hint="eastAsia"/>
                <w:sz w:val="19"/>
              </w:rPr>
            </w:pPr>
            <w:r>
              <w:rPr>
                <w:rFonts w:hint="eastAsia"/>
                <w:sz w:val="19"/>
              </w:rPr>
              <w:t>沙尖子村部停车场内</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62</w:t>
            </w:r>
          </w:p>
        </w:tc>
        <w:tc>
          <w:tcPr>
            <w:tcW w:w="1168" w:type="pct"/>
            <w:shd w:val="clear" w:color="auto" w:fill="auto"/>
            <w:noWrap/>
            <w:vAlign w:val="center"/>
          </w:tcPr>
          <w:p>
            <w:pPr>
              <w:spacing w:line="240" w:lineRule="auto"/>
              <w:jc w:val="center"/>
              <w:rPr>
                <w:rFonts w:hint="eastAsia"/>
                <w:sz w:val="19"/>
              </w:rPr>
            </w:pPr>
            <w:r>
              <w:rPr>
                <w:rFonts w:hint="eastAsia"/>
                <w:sz w:val="19"/>
              </w:rPr>
              <w:t>桦树甸子村委会</w:t>
            </w:r>
          </w:p>
        </w:tc>
        <w:tc>
          <w:tcPr>
            <w:tcW w:w="1978" w:type="pct"/>
            <w:shd w:val="clear" w:color="auto" w:fill="auto"/>
            <w:noWrap/>
            <w:vAlign w:val="center"/>
          </w:tcPr>
          <w:p>
            <w:pPr>
              <w:spacing w:line="240" w:lineRule="auto"/>
              <w:jc w:val="center"/>
              <w:rPr>
                <w:rFonts w:hint="eastAsia"/>
                <w:sz w:val="19"/>
              </w:rPr>
            </w:pPr>
            <w:r>
              <w:rPr>
                <w:rFonts w:hint="eastAsia"/>
                <w:sz w:val="19"/>
              </w:rPr>
              <w:t>村委会</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63</w:t>
            </w:r>
          </w:p>
        </w:tc>
        <w:tc>
          <w:tcPr>
            <w:tcW w:w="1168" w:type="pct"/>
            <w:shd w:val="clear" w:color="auto" w:fill="auto"/>
            <w:noWrap/>
            <w:vAlign w:val="center"/>
          </w:tcPr>
          <w:p>
            <w:pPr>
              <w:spacing w:line="240" w:lineRule="auto"/>
              <w:jc w:val="center"/>
              <w:rPr>
                <w:rFonts w:hint="eastAsia"/>
                <w:sz w:val="19"/>
              </w:rPr>
            </w:pPr>
            <w:r>
              <w:rPr>
                <w:rFonts w:hint="eastAsia"/>
                <w:sz w:val="19"/>
              </w:rPr>
              <w:t>大镜沟村委会</w:t>
            </w:r>
          </w:p>
        </w:tc>
        <w:tc>
          <w:tcPr>
            <w:tcW w:w="1978" w:type="pct"/>
            <w:shd w:val="clear" w:color="auto" w:fill="auto"/>
            <w:noWrap/>
            <w:vAlign w:val="center"/>
          </w:tcPr>
          <w:p>
            <w:pPr>
              <w:spacing w:line="240" w:lineRule="auto"/>
              <w:jc w:val="center"/>
              <w:rPr>
                <w:rFonts w:hint="eastAsia"/>
                <w:sz w:val="19"/>
              </w:rPr>
            </w:pPr>
            <w:r>
              <w:rPr>
                <w:rFonts w:hint="eastAsia"/>
                <w:sz w:val="19"/>
              </w:rPr>
              <w:t>村委会</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64</w:t>
            </w:r>
          </w:p>
        </w:tc>
        <w:tc>
          <w:tcPr>
            <w:tcW w:w="1168" w:type="pct"/>
            <w:shd w:val="clear" w:color="auto" w:fill="auto"/>
            <w:noWrap/>
            <w:vAlign w:val="center"/>
          </w:tcPr>
          <w:p>
            <w:pPr>
              <w:spacing w:line="240" w:lineRule="auto"/>
              <w:jc w:val="center"/>
              <w:rPr>
                <w:rFonts w:hint="eastAsia"/>
                <w:sz w:val="19"/>
              </w:rPr>
            </w:pPr>
            <w:r>
              <w:rPr>
                <w:rFonts w:hint="eastAsia"/>
                <w:sz w:val="19"/>
              </w:rPr>
              <w:t>拐磨子村村委会</w:t>
            </w:r>
          </w:p>
        </w:tc>
        <w:tc>
          <w:tcPr>
            <w:tcW w:w="1978" w:type="pct"/>
            <w:shd w:val="clear" w:color="auto" w:fill="auto"/>
            <w:noWrap/>
            <w:vAlign w:val="center"/>
          </w:tcPr>
          <w:p>
            <w:pPr>
              <w:spacing w:line="240" w:lineRule="auto"/>
              <w:jc w:val="center"/>
              <w:rPr>
                <w:rFonts w:hint="eastAsia"/>
                <w:sz w:val="19"/>
              </w:rPr>
            </w:pPr>
            <w:r>
              <w:rPr>
                <w:rFonts w:hint="eastAsia"/>
                <w:sz w:val="19"/>
              </w:rPr>
              <w:t>村委会</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65</w:t>
            </w:r>
          </w:p>
        </w:tc>
        <w:tc>
          <w:tcPr>
            <w:tcW w:w="1168" w:type="pct"/>
            <w:shd w:val="clear" w:color="auto" w:fill="auto"/>
            <w:noWrap/>
            <w:vAlign w:val="center"/>
          </w:tcPr>
          <w:p>
            <w:pPr>
              <w:spacing w:line="240" w:lineRule="auto"/>
              <w:jc w:val="center"/>
              <w:rPr>
                <w:rFonts w:hint="eastAsia"/>
                <w:sz w:val="19"/>
              </w:rPr>
            </w:pPr>
            <w:r>
              <w:rPr>
                <w:rFonts w:hint="eastAsia"/>
                <w:sz w:val="19"/>
              </w:rPr>
              <w:t>大南沟村村民委员会</w:t>
            </w:r>
          </w:p>
        </w:tc>
        <w:tc>
          <w:tcPr>
            <w:tcW w:w="1978" w:type="pct"/>
            <w:shd w:val="clear" w:color="auto" w:fill="auto"/>
            <w:noWrap/>
            <w:vAlign w:val="center"/>
          </w:tcPr>
          <w:p>
            <w:pPr>
              <w:spacing w:line="240" w:lineRule="auto"/>
              <w:jc w:val="center"/>
              <w:rPr>
                <w:rFonts w:hint="eastAsia"/>
                <w:sz w:val="19"/>
              </w:rPr>
            </w:pPr>
            <w:r>
              <w:rPr>
                <w:rFonts w:hint="eastAsia"/>
                <w:sz w:val="19"/>
              </w:rPr>
              <w:t>村委会</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66</w:t>
            </w:r>
          </w:p>
        </w:tc>
        <w:tc>
          <w:tcPr>
            <w:tcW w:w="1168" w:type="pct"/>
            <w:shd w:val="clear" w:color="auto" w:fill="auto"/>
            <w:noWrap/>
            <w:vAlign w:val="center"/>
          </w:tcPr>
          <w:p>
            <w:pPr>
              <w:spacing w:line="240" w:lineRule="auto"/>
              <w:jc w:val="center"/>
              <w:rPr>
                <w:rFonts w:hint="eastAsia"/>
                <w:sz w:val="19"/>
              </w:rPr>
            </w:pPr>
            <w:r>
              <w:rPr>
                <w:rFonts w:hint="eastAsia"/>
                <w:sz w:val="19"/>
              </w:rPr>
              <w:t>柞木台子村村民委员会</w:t>
            </w:r>
          </w:p>
        </w:tc>
        <w:tc>
          <w:tcPr>
            <w:tcW w:w="1978" w:type="pct"/>
            <w:shd w:val="clear" w:color="auto" w:fill="auto"/>
            <w:noWrap/>
            <w:vAlign w:val="center"/>
          </w:tcPr>
          <w:p>
            <w:pPr>
              <w:spacing w:line="240" w:lineRule="auto"/>
              <w:jc w:val="center"/>
              <w:rPr>
                <w:rFonts w:hint="eastAsia"/>
                <w:sz w:val="19"/>
              </w:rPr>
            </w:pPr>
            <w:r>
              <w:rPr>
                <w:rFonts w:hint="eastAsia"/>
                <w:sz w:val="19"/>
              </w:rPr>
              <w:t>村委会</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67</w:t>
            </w:r>
          </w:p>
        </w:tc>
        <w:tc>
          <w:tcPr>
            <w:tcW w:w="1168" w:type="pct"/>
            <w:shd w:val="clear" w:color="auto" w:fill="auto"/>
            <w:noWrap/>
            <w:vAlign w:val="center"/>
          </w:tcPr>
          <w:p>
            <w:pPr>
              <w:spacing w:line="240" w:lineRule="auto"/>
              <w:jc w:val="center"/>
              <w:rPr>
                <w:rFonts w:hint="eastAsia"/>
                <w:sz w:val="19"/>
              </w:rPr>
            </w:pPr>
            <w:r>
              <w:rPr>
                <w:rFonts w:hint="eastAsia"/>
                <w:sz w:val="19"/>
              </w:rPr>
              <w:t>闹枝沟村</w:t>
            </w:r>
          </w:p>
        </w:tc>
        <w:tc>
          <w:tcPr>
            <w:tcW w:w="1978" w:type="pct"/>
            <w:shd w:val="clear" w:color="auto" w:fill="auto"/>
            <w:noWrap/>
            <w:vAlign w:val="center"/>
          </w:tcPr>
          <w:p>
            <w:pPr>
              <w:spacing w:line="240" w:lineRule="auto"/>
              <w:jc w:val="center"/>
              <w:rPr>
                <w:rFonts w:hint="eastAsia"/>
                <w:sz w:val="19"/>
              </w:rPr>
            </w:pPr>
            <w:r>
              <w:rPr>
                <w:rFonts w:hint="eastAsia"/>
                <w:sz w:val="19"/>
              </w:rPr>
              <w:t>村委会</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68</w:t>
            </w:r>
          </w:p>
        </w:tc>
        <w:tc>
          <w:tcPr>
            <w:tcW w:w="1168" w:type="pct"/>
            <w:shd w:val="clear" w:color="auto" w:fill="auto"/>
            <w:noWrap/>
            <w:vAlign w:val="center"/>
          </w:tcPr>
          <w:p>
            <w:pPr>
              <w:spacing w:line="240" w:lineRule="auto"/>
              <w:jc w:val="center"/>
              <w:rPr>
                <w:rFonts w:hint="eastAsia"/>
                <w:sz w:val="19"/>
              </w:rPr>
            </w:pPr>
            <w:r>
              <w:rPr>
                <w:rFonts w:hint="eastAsia"/>
                <w:sz w:val="19"/>
              </w:rPr>
              <w:t>干沟子村</w:t>
            </w:r>
          </w:p>
        </w:tc>
        <w:tc>
          <w:tcPr>
            <w:tcW w:w="1978" w:type="pct"/>
            <w:shd w:val="clear" w:color="auto" w:fill="auto"/>
            <w:noWrap/>
            <w:vAlign w:val="center"/>
          </w:tcPr>
          <w:p>
            <w:pPr>
              <w:spacing w:line="240" w:lineRule="auto"/>
              <w:jc w:val="center"/>
              <w:rPr>
                <w:rFonts w:hint="eastAsia"/>
                <w:sz w:val="19"/>
              </w:rPr>
            </w:pPr>
            <w:r>
              <w:rPr>
                <w:rFonts w:hint="eastAsia"/>
                <w:sz w:val="19"/>
              </w:rPr>
              <w:t>村委会</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69</w:t>
            </w:r>
          </w:p>
        </w:tc>
        <w:tc>
          <w:tcPr>
            <w:tcW w:w="1168" w:type="pct"/>
            <w:shd w:val="clear" w:color="auto" w:fill="auto"/>
            <w:noWrap/>
            <w:vAlign w:val="center"/>
          </w:tcPr>
          <w:p>
            <w:pPr>
              <w:spacing w:line="240" w:lineRule="auto"/>
              <w:jc w:val="center"/>
              <w:rPr>
                <w:rFonts w:hint="eastAsia"/>
                <w:sz w:val="19"/>
              </w:rPr>
            </w:pPr>
            <w:r>
              <w:rPr>
                <w:rFonts w:hint="eastAsia"/>
                <w:sz w:val="19"/>
              </w:rPr>
              <w:t>影壁山村</w:t>
            </w:r>
          </w:p>
        </w:tc>
        <w:tc>
          <w:tcPr>
            <w:tcW w:w="1978" w:type="pct"/>
            <w:shd w:val="clear" w:color="auto" w:fill="auto"/>
            <w:noWrap/>
            <w:vAlign w:val="center"/>
          </w:tcPr>
          <w:p>
            <w:pPr>
              <w:spacing w:line="240" w:lineRule="auto"/>
              <w:jc w:val="center"/>
              <w:rPr>
                <w:rFonts w:hint="eastAsia"/>
                <w:sz w:val="19"/>
              </w:rPr>
            </w:pPr>
            <w:r>
              <w:rPr>
                <w:rFonts w:hint="eastAsia"/>
                <w:sz w:val="19"/>
              </w:rPr>
              <w:t>村委会</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70</w:t>
            </w:r>
          </w:p>
        </w:tc>
        <w:tc>
          <w:tcPr>
            <w:tcW w:w="1168" w:type="pct"/>
            <w:shd w:val="clear" w:color="auto" w:fill="auto"/>
            <w:noWrap/>
            <w:vAlign w:val="center"/>
          </w:tcPr>
          <w:p>
            <w:pPr>
              <w:spacing w:line="240" w:lineRule="auto"/>
              <w:jc w:val="center"/>
              <w:rPr>
                <w:rFonts w:hint="eastAsia"/>
                <w:sz w:val="19"/>
              </w:rPr>
            </w:pPr>
            <w:r>
              <w:rPr>
                <w:rFonts w:hint="eastAsia"/>
                <w:sz w:val="19"/>
              </w:rPr>
              <w:t>秋皮沟村</w:t>
            </w:r>
          </w:p>
        </w:tc>
        <w:tc>
          <w:tcPr>
            <w:tcW w:w="1978" w:type="pct"/>
            <w:shd w:val="clear" w:color="auto" w:fill="auto"/>
            <w:noWrap/>
            <w:vAlign w:val="center"/>
          </w:tcPr>
          <w:p>
            <w:pPr>
              <w:spacing w:line="240" w:lineRule="auto"/>
              <w:jc w:val="center"/>
              <w:rPr>
                <w:rFonts w:hint="eastAsia"/>
                <w:sz w:val="19"/>
              </w:rPr>
            </w:pPr>
            <w:r>
              <w:rPr>
                <w:rFonts w:hint="eastAsia"/>
                <w:sz w:val="19"/>
              </w:rPr>
              <w:t>村委会</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71</w:t>
            </w:r>
          </w:p>
        </w:tc>
        <w:tc>
          <w:tcPr>
            <w:tcW w:w="1168" w:type="pct"/>
            <w:shd w:val="clear" w:color="auto" w:fill="auto"/>
            <w:noWrap/>
            <w:vAlign w:val="center"/>
          </w:tcPr>
          <w:p>
            <w:pPr>
              <w:spacing w:line="240" w:lineRule="auto"/>
              <w:jc w:val="center"/>
              <w:rPr>
                <w:rFonts w:hint="eastAsia"/>
                <w:sz w:val="19"/>
              </w:rPr>
            </w:pPr>
            <w:r>
              <w:rPr>
                <w:rFonts w:hint="eastAsia"/>
                <w:sz w:val="19"/>
              </w:rPr>
              <w:t>岔路子村村民委员会</w:t>
            </w:r>
          </w:p>
        </w:tc>
        <w:tc>
          <w:tcPr>
            <w:tcW w:w="1978" w:type="pct"/>
            <w:shd w:val="clear" w:color="auto" w:fill="auto"/>
            <w:noWrap/>
            <w:vAlign w:val="center"/>
          </w:tcPr>
          <w:p>
            <w:pPr>
              <w:spacing w:line="240" w:lineRule="auto"/>
              <w:jc w:val="center"/>
              <w:rPr>
                <w:rFonts w:hint="eastAsia"/>
                <w:sz w:val="19"/>
              </w:rPr>
            </w:pPr>
            <w:r>
              <w:rPr>
                <w:rFonts w:hint="eastAsia"/>
                <w:sz w:val="19"/>
              </w:rPr>
              <w:t>村委会</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97" w:type="pct"/>
            <w:shd w:val="clear" w:color="auto" w:fill="auto"/>
            <w:noWrap/>
            <w:vAlign w:val="center"/>
          </w:tcPr>
          <w:p>
            <w:pPr>
              <w:spacing w:line="240" w:lineRule="auto"/>
              <w:jc w:val="center"/>
              <w:rPr>
                <w:rFonts w:hint="eastAsia"/>
                <w:sz w:val="19"/>
              </w:rPr>
            </w:pPr>
            <w:r>
              <w:rPr>
                <w:rFonts w:hint="eastAsia"/>
                <w:sz w:val="19"/>
              </w:rPr>
              <w:t>72</w:t>
            </w:r>
          </w:p>
        </w:tc>
        <w:tc>
          <w:tcPr>
            <w:tcW w:w="1168" w:type="pct"/>
            <w:shd w:val="clear" w:color="auto" w:fill="auto"/>
            <w:noWrap/>
            <w:vAlign w:val="center"/>
          </w:tcPr>
          <w:p>
            <w:pPr>
              <w:spacing w:line="240" w:lineRule="auto"/>
              <w:jc w:val="center"/>
              <w:rPr>
                <w:rFonts w:hint="eastAsia"/>
                <w:sz w:val="19"/>
              </w:rPr>
            </w:pPr>
            <w:r>
              <w:rPr>
                <w:rFonts w:hint="eastAsia"/>
                <w:sz w:val="19"/>
              </w:rPr>
              <w:t>洼泥甸子村村民委员会</w:t>
            </w:r>
          </w:p>
        </w:tc>
        <w:tc>
          <w:tcPr>
            <w:tcW w:w="1978" w:type="pct"/>
            <w:shd w:val="clear" w:color="auto" w:fill="auto"/>
            <w:noWrap/>
            <w:vAlign w:val="center"/>
          </w:tcPr>
          <w:p>
            <w:pPr>
              <w:spacing w:line="240" w:lineRule="auto"/>
              <w:jc w:val="center"/>
              <w:rPr>
                <w:rFonts w:hint="eastAsia"/>
                <w:sz w:val="19"/>
              </w:rPr>
            </w:pPr>
            <w:r>
              <w:rPr>
                <w:rFonts w:hint="eastAsia"/>
                <w:sz w:val="19"/>
              </w:rPr>
              <w:t>村委会</w:t>
            </w:r>
          </w:p>
        </w:tc>
        <w:tc>
          <w:tcPr>
            <w:tcW w:w="415" w:type="pct"/>
            <w:shd w:val="clear" w:color="auto" w:fill="auto"/>
            <w:noWrap/>
            <w:vAlign w:val="center"/>
          </w:tcPr>
          <w:p>
            <w:pPr>
              <w:spacing w:line="240" w:lineRule="auto"/>
              <w:jc w:val="center"/>
              <w:rPr>
                <w:rFonts w:hint="eastAsia"/>
                <w:sz w:val="19"/>
              </w:rPr>
            </w:pPr>
            <w:r>
              <w:rPr>
                <w:rFonts w:hint="eastAsia"/>
                <w:sz w:val="19"/>
              </w:rPr>
              <w:t>新建</w:t>
            </w:r>
          </w:p>
        </w:tc>
        <w:tc>
          <w:tcPr>
            <w:tcW w:w="513" w:type="pct"/>
            <w:shd w:val="clear" w:color="auto" w:fill="auto"/>
            <w:noWrap/>
            <w:vAlign w:val="center"/>
          </w:tcPr>
          <w:p>
            <w:pPr>
              <w:spacing w:line="240" w:lineRule="auto"/>
              <w:jc w:val="center"/>
              <w:rPr>
                <w:rFonts w:hint="eastAsia"/>
                <w:sz w:val="19"/>
              </w:rPr>
            </w:pPr>
            <w:r>
              <w:rPr>
                <w:rFonts w:hint="eastAsia"/>
                <w:sz w:val="19"/>
              </w:rPr>
              <w:t>2</w:t>
            </w:r>
          </w:p>
        </w:tc>
        <w:tc>
          <w:tcPr>
            <w:tcW w:w="370" w:type="pct"/>
            <w:shd w:val="clear" w:color="auto" w:fill="auto"/>
            <w:noWrap/>
          </w:tcPr>
          <w:p>
            <w:pPr>
              <w:spacing w:line="240" w:lineRule="auto"/>
              <w:jc w:val="center"/>
              <w:rPr>
                <w:rFonts w:hint="eastAsia"/>
                <w:sz w:val="19"/>
              </w:rPr>
            </w:pPr>
            <w:r>
              <w:rPr>
                <w:sz w:val="19"/>
              </w:rPr>
              <w:t>0</w:t>
            </w:r>
          </w:p>
        </w:tc>
        <w:tc>
          <w:tcPr>
            <w:tcW w:w="359" w:type="pct"/>
            <w:shd w:val="clear" w:color="auto" w:fill="auto"/>
            <w:noWrap/>
            <w:vAlign w:val="center"/>
          </w:tcPr>
          <w:p>
            <w:pPr>
              <w:spacing w:line="240" w:lineRule="auto"/>
              <w:jc w:val="center"/>
              <w:rPr>
                <w:rFonts w:hint="eastAsia"/>
                <w:sz w:val="19"/>
              </w:rPr>
            </w:pPr>
            <w:r>
              <w:rPr>
                <w:rFonts w:hint="eastAsia"/>
                <w:sz w:val="19"/>
              </w:rPr>
              <w:t>远期</w:t>
            </w:r>
          </w:p>
        </w:tc>
      </w:tr>
    </w:tbl>
    <w:p>
      <w:pPr>
        <w:pStyle w:val="4"/>
      </w:pPr>
      <w:r>
        <w:rPr>
          <w:rFonts w:hint="eastAsia"/>
        </w:rPr>
        <w:t>专用充电设施规划</w:t>
      </w:r>
    </w:p>
    <w:p>
      <w:pPr>
        <w:ind w:firstLine="560"/>
        <w:rPr>
          <w:rFonts w:hint="eastAsia" w:cs="仿宋_GB2312"/>
          <w:szCs w:val="28"/>
        </w:rPr>
      </w:pPr>
      <w:r>
        <w:rPr>
          <w:rFonts w:cs="仿宋_GB2312"/>
          <w:szCs w:val="28"/>
        </w:rPr>
        <w:t>专用</w:t>
      </w:r>
      <w:r>
        <w:rPr>
          <w:rFonts w:hint="eastAsia" w:cs="仿宋_GB2312"/>
          <w:szCs w:val="28"/>
        </w:rPr>
        <w:t>充电</w:t>
      </w:r>
      <w:r>
        <w:rPr>
          <w:rFonts w:cs="仿宋_GB2312"/>
          <w:szCs w:val="28"/>
        </w:rPr>
        <w:t>桩</w:t>
      </w:r>
      <w:r>
        <w:rPr>
          <w:rFonts w:hint="eastAsia" w:cs="仿宋_GB2312"/>
          <w:szCs w:val="28"/>
        </w:rPr>
        <w:t>不便</w:t>
      </w:r>
      <w:r>
        <w:rPr>
          <w:rFonts w:cs="仿宋_GB2312"/>
          <w:szCs w:val="28"/>
        </w:rPr>
        <w:t>于统一规划</w:t>
      </w:r>
      <w:r>
        <w:rPr>
          <w:rFonts w:hint="eastAsia" w:cs="仿宋_GB2312"/>
          <w:szCs w:val="28"/>
        </w:rPr>
        <w:t>，本次根据充电设施需求预测结果，预测专用充电设施近期建设总体规模。</w:t>
      </w:r>
    </w:p>
    <w:p>
      <w:pPr>
        <w:ind w:firstLine="560"/>
        <w:rPr>
          <w:rFonts w:hint="eastAsia" w:cs="仿宋_GB2312"/>
          <w:szCs w:val="28"/>
        </w:rPr>
      </w:pPr>
      <w:r>
        <w:rPr>
          <w:rFonts w:hint="eastAsia" w:cs="仿宋_GB2312"/>
          <w:szCs w:val="28"/>
        </w:rPr>
        <w:t>近期专用充电设施建设暂不涉及公交、环卫车辆，公交、环卫车辆近期暂无购置电动汽车计划，故暂不配置专用充电设施。</w:t>
      </w:r>
    </w:p>
    <w:p>
      <w:pPr>
        <w:ind w:firstLine="560"/>
        <w:rPr>
          <w:rFonts w:hint="eastAsia" w:cs="仿宋_GB2312"/>
          <w:szCs w:val="28"/>
        </w:rPr>
      </w:pPr>
      <w:r>
        <w:rPr>
          <w:rFonts w:hint="eastAsia" w:cs="仿宋_GB2312"/>
          <w:szCs w:val="28"/>
        </w:rPr>
        <w:t>车辆数量较多的物流车辆以在自家企业专用充电站充电为主，另规划于桓仁物流中心、高速服务区设置物流充电桩，以满足零散外来物流车辆充电需求，物流充电桩与公用充电桩共建。</w:t>
      </w:r>
    </w:p>
    <w:p>
      <w:pPr>
        <w:pStyle w:val="7"/>
      </w:pPr>
      <w:r>
        <w:rPr>
          <w:rFonts w:hint="eastAsia"/>
        </w:rPr>
        <w:t>桓仁满族自治县物流车充电设施规划项目表</w:t>
      </w:r>
    </w:p>
    <w:tbl>
      <w:tblPr>
        <w:tblStyle w:val="30"/>
        <w:tblW w:w="521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28" w:type="dxa"/>
          <w:left w:w="28" w:type="dxa"/>
          <w:bottom w:w="28" w:type="dxa"/>
          <w:right w:w="28" w:type="dxa"/>
        </w:tblCellMar>
      </w:tblPr>
      <w:tblGrid>
        <w:gridCol w:w="561"/>
        <w:gridCol w:w="1657"/>
        <w:gridCol w:w="1920"/>
        <w:gridCol w:w="858"/>
        <w:gridCol w:w="712"/>
        <w:gridCol w:w="716"/>
        <w:gridCol w:w="1715"/>
        <w:gridCol w:w="57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322" w:type="pct"/>
            <w:vMerge w:val="restart"/>
            <w:shd w:val="clear" w:color="auto" w:fill="D9D9D9"/>
            <w:noWrap/>
            <w:vAlign w:val="center"/>
          </w:tcPr>
          <w:p>
            <w:pPr>
              <w:spacing w:line="240" w:lineRule="auto"/>
              <w:jc w:val="center"/>
              <w:rPr>
                <w:rFonts w:hint="eastAsia"/>
                <w:b/>
                <w:sz w:val="19"/>
              </w:rPr>
            </w:pPr>
            <w:r>
              <w:rPr>
                <w:rFonts w:hint="eastAsia"/>
                <w:b/>
                <w:sz w:val="19"/>
              </w:rPr>
              <w:t>序号</w:t>
            </w:r>
          </w:p>
        </w:tc>
        <w:tc>
          <w:tcPr>
            <w:tcW w:w="951" w:type="pct"/>
            <w:vMerge w:val="restart"/>
            <w:shd w:val="clear" w:color="auto" w:fill="D9D9D9"/>
            <w:noWrap/>
            <w:vAlign w:val="center"/>
          </w:tcPr>
          <w:p>
            <w:pPr>
              <w:spacing w:line="240" w:lineRule="auto"/>
              <w:jc w:val="center"/>
              <w:rPr>
                <w:rFonts w:hint="eastAsia"/>
                <w:b/>
                <w:sz w:val="19"/>
              </w:rPr>
            </w:pPr>
            <w:r>
              <w:rPr>
                <w:rFonts w:hint="eastAsia"/>
                <w:b/>
                <w:sz w:val="19"/>
              </w:rPr>
              <w:t>项目名称</w:t>
            </w:r>
          </w:p>
        </w:tc>
        <w:tc>
          <w:tcPr>
            <w:tcW w:w="1102" w:type="pct"/>
            <w:vMerge w:val="restart"/>
            <w:shd w:val="clear" w:color="auto" w:fill="D9D9D9"/>
            <w:noWrap/>
            <w:vAlign w:val="center"/>
          </w:tcPr>
          <w:p>
            <w:pPr>
              <w:spacing w:line="240" w:lineRule="auto"/>
              <w:jc w:val="center"/>
              <w:rPr>
                <w:rFonts w:hint="eastAsia"/>
                <w:b/>
                <w:sz w:val="19"/>
              </w:rPr>
            </w:pPr>
            <w:r>
              <w:rPr>
                <w:rFonts w:hint="eastAsia"/>
                <w:b/>
                <w:sz w:val="19"/>
              </w:rPr>
              <w:t>位置</w:t>
            </w:r>
          </w:p>
        </w:tc>
        <w:tc>
          <w:tcPr>
            <w:tcW w:w="492" w:type="pct"/>
            <w:vMerge w:val="restart"/>
            <w:shd w:val="clear" w:color="auto" w:fill="D9D9D9"/>
            <w:noWrap/>
            <w:vAlign w:val="center"/>
          </w:tcPr>
          <w:p>
            <w:pPr>
              <w:spacing w:line="240" w:lineRule="auto"/>
              <w:jc w:val="center"/>
              <w:rPr>
                <w:rFonts w:hint="eastAsia"/>
                <w:b/>
                <w:sz w:val="19"/>
              </w:rPr>
            </w:pPr>
            <w:r>
              <w:rPr>
                <w:rFonts w:hint="eastAsia"/>
                <w:b/>
                <w:sz w:val="19"/>
              </w:rPr>
              <w:t>类型</w:t>
            </w:r>
          </w:p>
        </w:tc>
        <w:tc>
          <w:tcPr>
            <w:tcW w:w="1804" w:type="pct"/>
            <w:gridSpan w:val="3"/>
            <w:shd w:val="clear" w:color="auto" w:fill="D9D9D9"/>
            <w:noWrap/>
            <w:vAlign w:val="center"/>
          </w:tcPr>
          <w:p>
            <w:pPr>
              <w:spacing w:line="240" w:lineRule="auto"/>
              <w:jc w:val="center"/>
              <w:rPr>
                <w:rFonts w:hint="eastAsia"/>
                <w:b/>
                <w:sz w:val="19"/>
              </w:rPr>
            </w:pPr>
            <w:r>
              <w:rPr>
                <w:rFonts w:hint="eastAsia"/>
                <w:b/>
                <w:sz w:val="19"/>
              </w:rPr>
              <w:t>设置充电基础设施数量（个）</w:t>
            </w:r>
          </w:p>
        </w:tc>
        <w:tc>
          <w:tcPr>
            <w:tcW w:w="329" w:type="pct"/>
            <w:vMerge w:val="restart"/>
            <w:shd w:val="clear" w:color="auto" w:fill="D9D9D9"/>
          </w:tcPr>
          <w:p>
            <w:pPr>
              <w:spacing w:line="240" w:lineRule="auto"/>
              <w:jc w:val="center"/>
              <w:rPr>
                <w:rFonts w:hint="eastAsia"/>
                <w:b/>
                <w:sz w:val="19"/>
              </w:rPr>
            </w:pPr>
            <w:r>
              <w:rPr>
                <w:rFonts w:hint="eastAsia"/>
                <w:b/>
                <w:sz w:val="19"/>
              </w:rPr>
              <w:t>建设年限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322" w:type="pct"/>
            <w:vMerge w:val="continue"/>
            <w:shd w:val="clear" w:color="auto" w:fill="D9D9D9"/>
            <w:vAlign w:val="center"/>
          </w:tcPr>
          <w:p>
            <w:pPr>
              <w:spacing w:line="240" w:lineRule="auto"/>
              <w:jc w:val="center"/>
              <w:rPr>
                <w:rFonts w:hint="eastAsia"/>
                <w:b/>
                <w:sz w:val="19"/>
              </w:rPr>
            </w:pPr>
          </w:p>
        </w:tc>
        <w:tc>
          <w:tcPr>
            <w:tcW w:w="951" w:type="pct"/>
            <w:vMerge w:val="continue"/>
            <w:shd w:val="clear" w:color="auto" w:fill="D9D9D9"/>
            <w:vAlign w:val="center"/>
          </w:tcPr>
          <w:p>
            <w:pPr>
              <w:spacing w:line="240" w:lineRule="auto"/>
              <w:jc w:val="center"/>
              <w:rPr>
                <w:rFonts w:hint="eastAsia"/>
                <w:b/>
                <w:sz w:val="19"/>
              </w:rPr>
            </w:pPr>
          </w:p>
        </w:tc>
        <w:tc>
          <w:tcPr>
            <w:tcW w:w="1102" w:type="pct"/>
            <w:vMerge w:val="continue"/>
            <w:shd w:val="clear" w:color="auto" w:fill="D9D9D9"/>
            <w:vAlign w:val="center"/>
          </w:tcPr>
          <w:p>
            <w:pPr>
              <w:spacing w:line="240" w:lineRule="auto"/>
              <w:jc w:val="center"/>
              <w:rPr>
                <w:rFonts w:hint="eastAsia"/>
                <w:b/>
                <w:sz w:val="19"/>
              </w:rPr>
            </w:pPr>
          </w:p>
        </w:tc>
        <w:tc>
          <w:tcPr>
            <w:tcW w:w="492" w:type="pct"/>
            <w:vMerge w:val="continue"/>
            <w:shd w:val="clear" w:color="auto" w:fill="D9D9D9"/>
            <w:vAlign w:val="center"/>
          </w:tcPr>
          <w:p>
            <w:pPr>
              <w:spacing w:line="240" w:lineRule="auto"/>
              <w:jc w:val="center"/>
              <w:rPr>
                <w:rFonts w:hint="eastAsia"/>
                <w:b/>
                <w:sz w:val="19"/>
              </w:rPr>
            </w:pPr>
          </w:p>
        </w:tc>
        <w:tc>
          <w:tcPr>
            <w:tcW w:w="409" w:type="pct"/>
            <w:shd w:val="clear" w:color="auto" w:fill="D9D9D9"/>
            <w:noWrap/>
            <w:vAlign w:val="center"/>
          </w:tcPr>
          <w:p>
            <w:pPr>
              <w:spacing w:line="240" w:lineRule="auto"/>
              <w:jc w:val="center"/>
              <w:rPr>
                <w:rFonts w:hint="eastAsia"/>
                <w:b/>
                <w:sz w:val="19"/>
              </w:rPr>
            </w:pPr>
            <w:r>
              <w:rPr>
                <w:rFonts w:hint="eastAsia"/>
                <w:b/>
                <w:sz w:val="19"/>
              </w:rPr>
              <w:t>快充</w:t>
            </w:r>
          </w:p>
        </w:tc>
        <w:tc>
          <w:tcPr>
            <w:tcW w:w="411" w:type="pct"/>
            <w:shd w:val="clear" w:color="auto" w:fill="D9D9D9"/>
            <w:noWrap/>
            <w:vAlign w:val="center"/>
          </w:tcPr>
          <w:p>
            <w:pPr>
              <w:spacing w:line="240" w:lineRule="auto"/>
              <w:jc w:val="center"/>
              <w:rPr>
                <w:rFonts w:hint="eastAsia"/>
                <w:b/>
                <w:sz w:val="19"/>
              </w:rPr>
            </w:pPr>
            <w:r>
              <w:rPr>
                <w:rFonts w:hint="eastAsia"/>
                <w:b/>
                <w:sz w:val="19"/>
              </w:rPr>
              <w:t>慢充</w:t>
            </w:r>
          </w:p>
        </w:tc>
        <w:tc>
          <w:tcPr>
            <w:tcW w:w="984" w:type="pct"/>
            <w:shd w:val="clear" w:color="auto" w:fill="D9D9D9"/>
            <w:vAlign w:val="center"/>
          </w:tcPr>
          <w:p>
            <w:pPr>
              <w:spacing w:line="240" w:lineRule="auto"/>
              <w:jc w:val="center"/>
              <w:rPr>
                <w:rFonts w:hint="eastAsia"/>
                <w:b/>
                <w:sz w:val="19"/>
              </w:rPr>
            </w:pPr>
            <w:r>
              <w:rPr>
                <w:rFonts w:hint="eastAsia"/>
                <w:b/>
                <w:sz w:val="19"/>
              </w:rPr>
              <w:t>其中：物流充电桩</w:t>
            </w:r>
          </w:p>
        </w:tc>
        <w:tc>
          <w:tcPr>
            <w:tcW w:w="329" w:type="pct"/>
            <w:vMerge w:val="continue"/>
            <w:shd w:val="clear" w:color="auto" w:fill="D9D9D9"/>
          </w:tcPr>
          <w:p>
            <w:pPr>
              <w:spacing w:line="240" w:lineRule="auto"/>
              <w:jc w:val="center"/>
              <w:rPr>
                <w:rFonts w:hint="eastAsia"/>
                <w:b/>
                <w:sz w:val="19"/>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22" w:type="pct"/>
            <w:shd w:val="clear" w:color="auto" w:fill="auto"/>
            <w:noWrap/>
            <w:vAlign w:val="center"/>
          </w:tcPr>
          <w:p>
            <w:pPr>
              <w:spacing w:line="240" w:lineRule="auto"/>
              <w:jc w:val="center"/>
              <w:rPr>
                <w:rFonts w:hint="eastAsia"/>
                <w:sz w:val="19"/>
              </w:rPr>
            </w:pPr>
            <w:r>
              <w:rPr>
                <w:rFonts w:hint="eastAsia"/>
                <w:sz w:val="19"/>
              </w:rPr>
              <w:t>1</w:t>
            </w:r>
          </w:p>
        </w:tc>
        <w:tc>
          <w:tcPr>
            <w:tcW w:w="1657" w:type="dxa"/>
            <w:shd w:val="clear" w:color="auto" w:fill="auto"/>
            <w:noWrap/>
            <w:vAlign w:val="center"/>
          </w:tcPr>
          <w:p>
            <w:pPr>
              <w:spacing w:line="240" w:lineRule="auto"/>
              <w:jc w:val="center"/>
              <w:rPr>
                <w:rFonts w:hint="eastAsia"/>
                <w:sz w:val="19"/>
              </w:rPr>
            </w:pPr>
            <w:r>
              <w:rPr>
                <w:rFonts w:hint="eastAsia"/>
                <w:sz w:val="19"/>
              </w:rPr>
              <w:t>桓仁满族自治县华来镇华来服务区充电站</w:t>
            </w:r>
          </w:p>
        </w:tc>
        <w:tc>
          <w:tcPr>
            <w:tcW w:w="1920" w:type="dxa"/>
            <w:shd w:val="clear" w:color="auto" w:fill="auto"/>
            <w:noWrap/>
            <w:vAlign w:val="center"/>
          </w:tcPr>
          <w:p>
            <w:pPr>
              <w:spacing w:line="240" w:lineRule="auto"/>
              <w:jc w:val="center"/>
              <w:rPr>
                <w:rFonts w:hint="eastAsia"/>
                <w:sz w:val="19"/>
              </w:rPr>
            </w:pPr>
            <w:r>
              <w:rPr>
                <w:rFonts w:hint="eastAsia"/>
                <w:sz w:val="19"/>
              </w:rPr>
              <w:t>华来服务区充电站</w:t>
            </w:r>
          </w:p>
        </w:tc>
        <w:tc>
          <w:tcPr>
            <w:tcW w:w="492" w:type="pct"/>
            <w:shd w:val="clear" w:color="auto" w:fill="auto"/>
            <w:noWrap/>
            <w:vAlign w:val="center"/>
          </w:tcPr>
          <w:p>
            <w:pPr>
              <w:spacing w:line="240" w:lineRule="auto"/>
              <w:jc w:val="center"/>
              <w:rPr>
                <w:rFonts w:hint="eastAsia"/>
                <w:sz w:val="19"/>
              </w:rPr>
            </w:pPr>
            <w:r>
              <w:rPr>
                <w:rFonts w:hint="eastAsia"/>
                <w:sz w:val="19"/>
              </w:rPr>
              <w:t>现有</w:t>
            </w:r>
          </w:p>
        </w:tc>
        <w:tc>
          <w:tcPr>
            <w:tcW w:w="409" w:type="pct"/>
            <w:shd w:val="clear" w:color="auto" w:fill="auto"/>
            <w:noWrap/>
            <w:vAlign w:val="center"/>
          </w:tcPr>
          <w:p>
            <w:pPr>
              <w:spacing w:line="240" w:lineRule="auto"/>
              <w:jc w:val="center"/>
              <w:rPr>
                <w:rFonts w:hint="eastAsia"/>
                <w:sz w:val="19"/>
              </w:rPr>
            </w:pPr>
            <w:r>
              <w:rPr>
                <w:rFonts w:hint="eastAsia"/>
                <w:sz w:val="19"/>
              </w:rPr>
              <w:t>2</w:t>
            </w:r>
          </w:p>
        </w:tc>
        <w:tc>
          <w:tcPr>
            <w:tcW w:w="411" w:type="pct"/>
            <w:shd w:val="clear" w:color="auto" w:fill="auto"/>
            <w:noWrap/>
            <w:vAlign w:val="center"/>
          </w:tcPr>
          <w:p>
            <w:pPr>
              <w:spacing w:line="240" w:lineRule="auto"/>
              <w:jc w:val="center"/>
              <w:rPr>
                <w:rFonts w:hint="eastAsia"/>
                <w:sz w:val="19"/>
              </w:rPr>
            </w:pPr>
            <w:r>
              <w:rPr>
                <w:rFonts w:hint="eastAsia"/>
                <w:sz w:val="19"/>
              </w:rPr>
              <w:t>2</w:t>
            </w:r>
          </w:p>
        </w:tc>
        <w:tc>
          <w:tcPr>
            <w:tcW w:w="984" w:type="pct"/>
            <w:shd w:val="clear" w:color="auto" w:fill="auto"/>
            <w:noWrap/>
            <w:vAlign w:val="center"/>
          </w:tcPr>
          <w:p>
            <w:pPr>
              <w:spacing w:line="240" w:lineRule="auto"/>
              <w:jc w:val="center"/>
              <w:rPr>
                <w:rFonts w:hint="eastAsia"/>
                <w:sz w:val="19"/>
              </w:rPr>
            </w:pPr>
            <w:r>
              <w:rPr>
                <w:rFonts w:hint="eastAsia"/>
                <w:sz w:val="19"/>
              </w:rPr>
              <w:t>1</w:t>
            </w:r>
          </w:p>
        </w:tc>
        <w:tc>
          <w:tcPr>
            <w:tcW w:w="329" w:type="pct"/>
            <w:vAlign w:val="center"/>
          </w:tcPr>
          <w:p>
            <w:pPr>
              <w:spacing w:line="240" w:lineRule="auto"/>
              <w:jc w:val="center"/>
              <w:rPr>
                <w:rFonts w:hint="eastAsia"/>
                <w:sz w:val="19"/>
              </w:rPr>
            </w:pPr>
            <w:r>
              <w:rPr>
                <w:rFonts w:hint="eastAsia"/>
                <w:sz w:val="19"/>
              </w:rPr>
              <w:t>2026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22" w:type="pct"/>
            <w:shd w:val="clear" w:color="auto" w:fill="auto"/>
            <w:noWrap/>
            <w:vAlign w:val="center"/>
          </w:tcPr>
          <w:p>
            <w:pPr>
              <w:spacing w:line="240" w:lineRule="auto"/>
              <w:jc w:val="center"/>
              <w:rPr>
                <w:rFonts w:hint="eastAsia"/>
                <w:sz w:val="19"/>
              </w:rPr>
            </w:pPr>
            <w:r>
              <w:rPr>
                <w:rFonts w:hint="eastAsia"/>
                <w:sz w:val="19"/>
              </w:rPr>
              <w:t>2</w:t>
            </w:r>
          </w:p>
        </w:tc>
        <w:tc>
          <w:tcPr>
            <w:tcW w:w="1657" w:type="dxa"/>
            <w:shd w:val="clear" w:color="auto" w:fill="auto"/>
            <w:noWrap/>
            <w:vAlign w:val="center"/>
          </w:tcPr>
          <w:p>
            <w:pPr>
              <w:spacing w:line="240" w:lineRule="auto"/>
              <w:jc w:val="center"/>
              <w:rPr>
                <w:rFonts w:hint="eastAsia"/>
                <w:sz w:val="19"/>
              </w:rPr>
            </w:pPr>
            <w:r>
              <w:rPr>
                <w:rFonts w:hint="eastAsia"/>
                <w:sz w:val="19"/>
              </w:rPr>
              <w:t>桓仁满族自治县雅河朝鲜族自治乡云峰山服务区充电站</w:t>
            </w:r>
          </w:p>
        </w:tc>
        <w:tc>
          <w:tcPr>
            <w:tcW w:w="1920" w:type="dxa"/>
            <w:shd w:val="clear" w:color="auto" w:fill="auto"/>
            <w:noWrap/>
            <w:vAlign w:val="center"/>
          </w:tcPr>
          <w:p>
            <w:pPr>
              <w:spacing w:line="240" w:lineRule="auto"/>
              <w:jc w:val="center"/>
              <w:rPr>
                <w:rFonts w:hint="eastAsia"/>
                <w:sz w:val="19"/>
              </w:rPr>
            </w:pPr>
            <w:r>
              <w:rPr>
                <w:rFonts w:hint="eastAsia"/>
                <w:sz w:val="19"/>
              </w:rPr>
              <w:t>云峰山服务区充电站</w:t>
            </w:r>
          </w:p>
        </w:tc>
        <w:tc>
          <w:tcPr>
            <w:tcW w:w="858" w:type="dxa"/>
            <w:shd w:val="clear" w:color="auto" w:fill="auto"/>
            <w:noWrap/>
            <w:vAlign w:val="center"/>
          </w:tcPr>
          <w:p>
            <w:pPr>
              <w:spacing w:line="240" w:lineRule="auto"/>
              <w:jc w:val="center"/>
              <w:rPr>
                <w:rFonts w:hint="eastAsia"/>
                <w:sz w:val="19"/>
              </w:rPr>
            </w:pPr>
            <w:r>
              <w:rPr>
                <w:rFonts w:hint="eastAsia"/>
                <w:sz w:val="19"/>
              </w:rPr>
              <w:t>现有</w:t>
            </w:r>
          </w:p>
        </w:tc>
        <w:tc>
          <w:tcPr>
            <w:tcW w:w="713" w:type="dxa"/>
            <w:shd w:val="clear" w:color="auto" w:fill="auto"/>
            <w:noWrap/>
            <w:vAlign w:val="center"/>
          </w:tcPr>
          <w:p>
            <w:pPr>
              <w:spacing w:line="240" w:lineRule="auto"/>
              <w:jc w:val="center"/>
              <w:rPr>
                <w:rFonts w:hint="eastAsia"/>
                <w:sz w:val="19"/>
              </w:rPr>
            </w:pPr>
            <w:r>
              <w:rPr>
                <w:rFonts w:hint="eastAsia"/>
                <w:sz w:val="19"/>
              </w:rPr>
              <w:t>2</w:t>
            </w:r>
          </w:p>
        </w:tc>
        <w:tc>
          <w:tcPr>
            <w:tcW w:w="716" w:type="dxa"/>
            <w:shd w:val="clear" w:color="auto" w:fill="auto"/>
            <w:noWrap/>
            <w:vAlign w:val="center"/>
          </w:tcPr>
          <w:p>
            <w:pPr>
              <w:spacing w:line="240" w:lineRule="auto"/>
              <w:jc w:val="center"/>
              <w:rPr>
                <w:rFonts w:hint="eastAsia"/>
                <w:sz w:val="19"/>
              </w:rPr>
            </w:pPr>
            <w:r>
              <w:rPr>
                <w:rFonts w:hint="eastAsia"/>
                <w:sz w:val="19"/>
              </w:rPr>
              <w:t>2</w:t>
            </w:r>
          </w:p>
        </w:tc>
        <w:tc>
          <w:tcPr>
            <w:tcW w:w="1715" w:type="dxa"/>
            <w:shd w:val="clear" w:color="auto" w:fill="auto"/>
            <w:noWrap/>
            <w:vAlign w:val="center"/>
          </w:tcPr>
          <w:p>
            <w:pPr>
              <w:spacing w:line="240" w:lineRule="auto"/>
              <w:jc w:val="center"/>
              <w:rPr>
                <w:rFonts w:hint="eastAsia"/>
                <w:sz w:val="19"/>
              </w:rPr>
            </w:pPr>
            <w:r>
              <w:rPr>
                <w:rFonts w:hint="eastAsia"/>
                <w:sz w:val="19"/>
              </w:rPr>
              <w:t>1</w:t>
            </w:r>
          </w:p>
        </w:tc>
        <w:tc>
          <w:tcPr>
            <w:tcW w:w="574" w:type="dxa"/>
            <w:vAlign w:val="center"/>
          </w:tcPr>
          <w:p>
            <w:pPr>
              <w:spacing w:line="240" w:lineRule="auto"/>
              <w:jc w:val="center"/>
              <w:rPr>
                <w:rFonts w:hint="eastAsia"/>
                <w:sz w:val="19"/>
              </w:rPr>
            </w:pPr>
            <w:r>
              <w:rPr>
                <w:rFonts w:hint="eastAsia"/>
                <w:sz w:val="19"/>
              </w:rPr>
              <w:t>2026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22" w:type="pct"/>
            <w:shd w:val="clear" w:color="auto" w:fill="auto"/>
            <w:noWrap/>
            <w:vAlign w:val="center"/>
          </w:tcPr>
          <w:p>
            <w:pPr>
              <w:spacing w:line="240" w:lineRule="auto"/>
              <w:jc w:val="center"/>
              <w:rPr>
                <w:rFonts w:hint="eastAsia"/>
                <w:sz w:val="19"/>
              </w:rPr>
            </w:pPr>
            <w:r>
              <w:rPr>
                <w:rFonts w:hint="eastAsia"/>
                <w:sz w:val="19"/>
              </w:rPr>
              <w:t>3</w:t>
            </w:r>
          </w:p>
        </w:tc>
        <w:tc>
          <w:tcPr>
            <w:tcW w:w="1657" w:type="dxa"/>
            <w:shd w:val="clear" w:color="auto" w:fill="auto"/>
            <w:noWrap/>
            <w:vAlign w:val="center"/>
          </w:tcPr>
          <w:p>
            <w:pPr>
              <w:spacing w:line="240" w:lineRule="auto"/>
              <w:jc w:val="center"/>
              <w:rPr>
                <w:rFonts w:hint="eastAsia"/>
                <w:sz w:val="19"/>
              </w:rPr>
            </w:pPr>
            <w:r>
              <w:rPr>
                <w:rFonts w:hint="eastAsia"/>
                <w:sz w:val="19"/>
              </w:rPr>
              <w:t>本桓高速（本溪东1）</w:t>
            </w:r>
          </w:p>
        </w:tc>
        <w:tc>
          <w:tcPr>
            <w:tcW w:w="1920" w:type="dxa"/>
            <w:shd w:val="clear" w:color="auto" w:fill="auto"/>
            <w:noWrap/>
            <w:vAlign w:val="center"/>
          </w:tcPr>
          <w:p>
            <w:pPr>
              <w:spacing w:line="240" w:lineRule="auto"/>
              <w:jc w:val="center"/>
              <w:rPr>
                <w:rFonts w:hint="eastAsia"/>
                <w:sz w:val="19"/>
              </w:rPr>
            </w:pPr>
            <w:r>
              <w:rPr>
                <w:rFonts w:hint="eastAsia"/>
                <w:sz w:val="19"/>
              </w:rPr>
              <w:t>规划</w:t>
            </w:r>
          </w:p>
        </w:tc>
        <w:tc>
          <w:tcPr>
            <w:tcW w:w="492" w:type="pct"/>
            <w:shd w:val="clear" w:color="auto" w:fill="auto"/>
            <w:noWrap/>
            <w:vAlign w:val="center"/>
          </w:tcPr>
          <w:p>
            <w:pPr>
              <w:spacing w:line="240" w:lineRule="auto"/>
              <w:jc w:val="center"/>
              <w:rPr>
                <w:rFonts w:hint="eastAsia"/>
                <w:sz w:val="19"/>
              </w:rPr>
            </w:pPr>
            <w:r>
              <w:rPr>
                <w:rFonts w:hint="eastAsia"/>
                <w:sz w:val="19"/>
              </w:rPr>
              <w:t>新建公用</w:t>
            </w:r>
          </w:p>
        </w:tc>
        <w:tc>
          <w:tcPr>
            <w:tcW w:w="409" w:type="pct"/>
            <w:shd w:val="clear" w:color="auto" w:fill="auto"/>
            <w:noWrap/>
            <w:vAlign w:val="center"/>
          </w:tcPr>
          <w:p>
            <w:pPr>
              <w:spacing w:line="240" w:lineRule="auto"/>
              <w:jc w:val="center"/>
              <w:rPr>
                <w:rFonts w:hint="eastAsia"/>
                <w:sz w:val="19"/>
              </w:rPr>
            </w:pPr>
            <w:r>
              <w:rPr>
                <w:rFonts w:hint="eastAsia"/>
                <w:sz w:val="19"/>
              </w:rPr>
              <w:t>6</w:t>
            </w:r>
          </w:p>
        </w:tc>
        <w:tc>
          <w:tcPr>
            <w:tcW w:w="411" w:type="pct"/>
            <w:shd w:val="clear" w:color="auto" w:fill="auto"/>
            <w:noWrap/>
            <w:vAlign w:val="center"/>
          </w:tcPr>
          <w:p>
            <w:pPr>
              <w:spacing w:line="240" w:lineRule="auto"/>
              <w:jc w:val="center"/>
              <w:rPr>
                <w:rFonts w:hint="eastAsia"/>
                <w:sz w:val="19"/>
              </w:rPr>
            </w:pPr>
            <w:r>
              <w:rPr>
                <w:rFonts w:hint="eastAsia"/>
                <w:sz w:val="19"/>
              </w:rPr>
              <w:t>0</w:t>
            </w:r>
          </w:p>
        </w:tc>
        <w:tc>
          <w:tcPr>
            <w:tcW w:w="984" w:type="pct"/>
            <w:shd w:val="clear" w:color="auto" w:fill="auto"/>
            <w:noWrap/>
            <w:vAlign w:val="center"/>
          </w:tcPr>
          <w:p>
            <w:pPr>
              <w:spacing w:line="240" w:lineRule="auto"/>
              <w:jc w:val="center"/>
              <w:rPr>
                <w:rFonts w:hint="eastAsia"/>
                <w:sz w:val="19"/>
              </w:rPr>
            </w:pPr>
            <w:r>
              <w:rPr>
                <w:rFonts w:hint="eastAsia"/>
                <w:sz w:val="19"/>
              </w:rPr>
              <w:t>2</w:t>
            </w:r>
          </w:p>
        </w:tc>
        <w:tc>
          <w:tcPr>
            <w:tcW w:w="329" w:type="pct"/>
            <w:vAlign w:val="center"/>
          </w:tcPr>
          <w:p>
            <w:pPr>
              <w:spacing w:line="240" w:lineRule="auto"/>
              <w:jc w:val="center"/>
              <w:rPr>
                <w:rFonts w:ascii="Times New Roman" w:hAnsi="Times New Roman"/>
                <w:sz w:val="19"/>
                <w:szCs w:val="19"/>
              </w:rPr>
            </w:pPr>
            <w:r>
              <w:rPr>
                <w:rFonts w:hint="eastAsia" w:ascii="Times New Roman" w:hAnsi="Times New Roman"/>
                <w:sz w:val="19"/>
                <w:szCs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22" w:type="pct"/>
            <w:shd w:val="clear" w:color="auto" w:fill="auto"/>
            <w:noWrap/>
            <w:vAlign w:val="center"/>
          </w:tcPr>
          <w:p>
            <w:pPr>
              <w:spacing w:line="240" w:lineRule="auto"/>
              <w:jc w:val="center"/>
              <w:rPr>
                <w:rFonts w:hint="eastAsia"/>
                <w:sz w:val="19"/>
              </w:rPr>
            </w:pPr>
            <w:r>
              <w:rPr>
                <w:rFonts w:hint="eastAsia"/>
                <w:sz w:val="19"/>
              </w:rPr>
              <w:t>4</w:t>
            </w:r>
          </w:p>
        </w:tc>
        <w:tc>
          <w:tcPr>
            <w:tcW w:w="1657" w:type="dxa"/>
            <w:shd w:val="clear" w:color="auto" w:fill="auto"/>
            <w:noWrap/>
            <w:vAlign w:val="center"/>
          </w:tcPr>
          <w:p>
            <w:pPr>
              <w:spacing w:line="240" w:lineRule="auto"/>
              <w:jc w:val="center"/>
              <w:rPr>
                <w:rFonts w:hint="eastAsia"/>
                <w:sz w:val="19"/>
              </w:rPr>
            </w:pPr>
            <w:r>
              <w:rPr>
                <w:rFonts w:hint="eastAsia"/>
                <w:sz w:val="19"/>
              </w:rPr>
              <w:t>本桓高速（本溪西1）</w:t>
            </w:r>
          </w:p>
        </w:tc>
        <w:tc>
          <w:tcPr>
            <w:tcW w:w="1920" w:type="dxa"/>
            <w:shd w:val="clear" w:color="auto" w:fill="auto"/>
            <w:noWrap/>
            <w:vAlign w:val="center"/>
          </w:tcPr>
          <w:p>
            <w:pPr>
              <w:spacing w:line="240" w:lineRule="auto"/>
              <w:jc w:val="center"/>
              <w:rPr>
                <w:rFonts w:hint="eastAsia"/>
                <w:sz w:val="19"/>
              </w:rPr>
            </w:pPr>
            <w:r>
              <w:rPr>
                <w:rFonts w:hint="eastAsia"/>
                <w:sz w:val="19"/>
              </w:rPr>
              <w:t>规划</w:t>
            </w:r>
          </w:p>
        </w:tc>
        <w:tc>
          <w:tcPr>
            <w:tcW w:w="492" w:type="pct"/>
            <w:shd w:val="clear" w:color="auto" w:fill="auto"/>
            <w:noWrap/>
            <w:vAlign w:val="center"/>
          </w:tcPr>
          <w:p>
            <w:pPr>
              <w:spacing w:line="240" w:lineRule="auto"/>
              <w:jc w:val="center"/>
              <w:rPr>
                <w:rFonts w:hint="eastAsia"/>
                <w:sz w:val="19"/>
              </w:rPr>
            </w:pPr>
            <w:r>
              <w:rPr>
                <w:rFonts w:hint="eastAsia"/>
                <w:sz w:val="19"/>
              </w:rPr>
              <w:t>新建公用</w:t>
            </w:r>
          </w:p>
        </w:tc>
        <w:tc>
          <w:tcPr>
            <w:tcW w:w="409" w:type="pct"/>
            <w:shd w:val="clear" w:color="auto" w:fill="auto"/>
            <w:noWrap/>
            <w:vAlign w:val="center"/>
          </w:tcPr>
          <w:p>
            <w:pPr>
              <w:spacing w:line="240" w:lineRule="auto"/>
              <w:jc w:val="center"/>
              <w:rPr>
                <w:rFonts w:hint="eastAsia"/>
                <w:sz w:val="19"/>
              </w:rPr>
            </w:pPr>
            <w:r>
              <w:rPr>
                <w:rFonts w:hint="eastAsia"/>
                <w:sz w:val="19"/>
              </w:rPr>
              <w:t>6</w:t>
            </w:r>
          </w:p>
        </w:tc>
        <w:tc>
          <w:tcPr>
            <w:tcW w:w="411" w:type="pct"/>
            <w:shd w:val="clear" w:color="auto" w:fill="auto"/>
            <w:noWrap/>
            <w:vAlign w:val="center"/>
          </w:tcPr>
          <w:p>
            <w:pPr>
              <w:spacing w:line="240" w:lineRule="auto"/>
              <w:jc w:val="center"/>
              <w:rPr>
                <w:rFonts w:hint="eastAsia"/>
                <w:sz w:val="19"/>
              </w:rPr>
            </w:pPr>
            <w:r>
              <w:rPr>
                <w:rFonts w:hint="eastAsia"/>
                <w:sz w:val="19"/>
              </w:rPr>
              <w:t>0</w:t>
            </w:r>
          </w:p>
        </w:tc>
        <w:tc>
          <w:tcPr>
            <w:tcW w:w="984" w:type="pct"/>
            <w:shd w:val="clear" w:color="auto" w:fill="auto"/>
            <w:noWrap/>
            <w:vAlign w:val="center"/>
          </w:tcPr>
          <w:p>
            <w:pPr>
              <w:spacing w:line="240" w:lineRule="auto"/>
              <w:jc w:val="center"/>
              <w:rPr>
                <w:rFonts w:hint="eastAsia"/>
                <w:sz w:val="19"/>
              </w:rPr>
            </w:pPr>
            <w:r>
              <w:rPr>
                <w:rFonts w:hint="eastAsia"/>
                <w:sz w:val="19"/>
              </w:rPr>
              <w:t>2</w:t>
            </w:r>
          </w:p>
        </w:tc>
        <w:tc>
          <w:tcPr>
            <w:tcW w:w="329" w:type="pct"/>
            <w:vAlign w:val="center"/>
          </w:tcPr>
          <w:p>
            <w:pPr>
              <w:spacing w:line="240" w:lineRule="auto"/>
              <w:jc w:val="center"/>
              <w:rPr>
                <w:rFonts w:ascii="Times New Roman" w:hAnsi="Times New Roman"/>
                <w:sz w:val="19"/>
                <w:szCs w:val="19"/>
              </w:rPr>
            </w:pPr>
            <w:r>
              <w:rPr>
                <w:rFonts w:hint="eastAsia" w:ascii="Times New Roman" w:hAnsi="Times New Roman"/>
                <w:sz w:val="19"/>
                <w:szCs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22" w:type="pct"/>
            <w:shd w:val="clear" w:color="auto" w:fill="auto"/>
            <w:noWrap/>
            <w:vAlign w:val="center"/>
          </w:tcPr>
          <w:p>
            <w:pPr>
              <w:spacing w:line="240" w:lineRule="auto"/>
              <w:jc w:val="center"/>
              <w:rPr>
                <w:rFonts w:hint="eastAsia"/>
                <w:sz w:val="19"/>
              </w:rPr>
            </w:pPr>
            <w:r>
              <w:rPr>
                <w:rFonts w:hint="eastAsia"/>
                <w:sz w:val="19"/>
              </w:rPr>
              <w:t>5</w:t>
            </w:r>
          </w:p>
        </w:tc>
        <w:tc>
          <w:tcPr>
            <w:tcW w:w="1657" w:type="dxa"/>
            <w:shd w:val="clear" w:color="auto" w:fill="auto"/>
            <w:noWrap/>
            <w:vAlign w:val="center"/>
          </w:tcPr>
          <w:p>
            <w:pPr>
              <w:spacing w:line="240" w:lineRule="auto"/>
              <w:jc w:val="center"/>
              <w:rPr>
                <w:rFonts w:hint="eastAsia"/>
                <w:sz w:val="19"/>
              </w:rPr>
            </w:pPr>
            <w:r>
              <w:rPr>
                <w:rFonts w:hint="eastAsia"/>
                <w:sz w:val="19"/>
              </w:rPr>
              <w:t>本桓高速（本溪东2）</w:t>
            </w:r>
          </w:p>
        </w:tc>
        <w:tc>
          <w:tcPr>
            <w:tcW w:w="1920" w:type="dxa"/>
            <w:shd w:val="clear" w:color="auto" w:fill="auto"/>
            <w:noWrap/>
            <w:vAlign w:val="center"/>
          </w:tcPr>
          <w:p>
            <w:pPr>
              <w:spacing w:line="240" w:lineRule="auto"/>
              <w:jc w:val="center"/>
              <w:rPr>
                <w:rFonts w:hint="eastAsia"/>
                <w:sz w:val="19"/>
              </w:rPr>
            </w:pPr>
            <w:r>
              <w:rPr>
                <w:rFonts w:hint="eastAsia"/>
                <w:sz w:val="19"/>
              </w:rPr>
              <w:t>规划</w:t>
            </w:r>
          </w:p>
        </w:tc>
        <w:tc>
          <w:tcPr>
            <w:tcW w:w="492" w:type="pct"/>
            <w:shd w:val="clear" w:color="auto" w:fill="auto"/>
            <w:noWrap/>
            <w:vAlign w:val="center"/>
          </w:tcPr>
          <w:p>
            <w:pPr>
              <w:spacing w:line="240" w:lineRule="auto"/>
              <w:jc w:val="center"/>
              <w:rPr>
                <w:rFonts w:hint="eastAsia"/>
                <w:sz w:val="19"/>
              </w:rPr>
            </w:pPr>
            <w:r>
              <w:rPr>
                <w:rFonts w:hint="eastAsia"/>
                <w:sz w:val="19"/>
              </w:rPr>
              <w:t>新建公用</w:t>
            </w:r>
          </w:p>
        </w:tc>
        <w:tc>
          <w:tcPr>
            <w:tcW w:w="409" w:type="pct"/>
            <w:shd w:val="clear" w:color="auto" w:fill="auto"/>
            <w:noWrap/>
            <w:vAlign w:val="center"/>
          </w:tcPr>
          <w:p>
            <w:pPr>
              <w:spacing w:line="240" w:lineRule="auto"/>
              <w:jc w:val="center"/>
              <w:rPr>
                <w:rFonts w:hint="eastAsia"/>
                <w:sz w:val="19"/>
              </w:rPr>
            </w:pPr>
            <w:r>
              <w:rPr>
                <w:rFonts w:hint="eastAsia"/>
                <w:sz w:val="19"/>
              </w:rPr>
              <w:t>6</w:t>
            </w:r>
          </w:p>
        </w:tc>
        <w:tc>
          <w:tcPr>
            <w:tcW w:w="411" w:type="pct"/>
            <w:shd w:val="clear" w:color="auto" w:fill="auto"/>
            <w:noWrap/>
            <w:vAlign w:val="center"/>
          </w:tcPr>
          <w:p>
            <w:pPr>
              <w:spacing w:line="240" w:lineRule="auto"/>
              <w:jc w:val="center"/>
              <w:rPr>
                <w:rFonts w:hint="eastAsia"/>
                <w:sz w:val="19"/>
              </w:rPr>
            </w:pPr>
            <w:r>
              <w:rPr>
                <w:rFonts w:hint="eastAsia"/>
                <w:sz w:val="19"/>
              </w:rPr>
              <w:t>0</w:t>
            </w:r>
          </w:p>
        </w:tc>
        <w:tc>
          <w:tcPr>
            <w:tcW w:w="984" w:type="pct"/>
            <w:shd w:val="clear" w:color="auto" w:fill="auto"/>
            <w:noWrap/>
            <w:vAlign w:val="center"/>
          </w:tcPr>
          <w:p>
            <w:pPr>
              <w:spacing w:line="240" w:lineRule="auto"/>
              <w:jc w:val="center"/>
              <w:rPr>
                <w:rFonts w:hint="eastAsia"/>
                <w:sz w:val="19"/>
              </w:rPr>
            </w:pPr>
            <w:r>
              <w:rPr>
                <w:rFonts w:hint="eastAsia"/>
                <w:sz w:val="19"/>
              </w:rPr>
              <w:t>2</w:t>
            </w:r>
          </w:p>
        </w:tc>
        <w:tc>
          <w:tcPr>
            <w:tcW w:w="329" w:type="pct"/>
            <w:vAlign w:val="center"/>
          </w:tcPr>
          <w:p>
            <w:pPr>
              <w:spacing w:line="240" w:lineRule="auto"/>
              <w:jc w:val="center"/>
              <w:rPr>
                <w:rFonts w:ascii="Times New Roman" w:hAnsi="Times New Roman"/>
                <w:sz w:val="19"/>
                <w:szCs w:val="19"/>
              </w:rPr>
            </w:pPr>
            <w:r>
              <w:rPr>
                <w:rFonts w:hint="eastAsia" w:ascii="Times New Roman" w:hAnsi="Times New Roman"/>
                <w:sz w:val="19"/>
                <w:szCs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22" w:type="pct"/>
            <w:shd w:val="clear" w:color="auto" w:fill="auto"/>
            <w:noWrap/>
            <w:vAlign w:val="center"/>
          </w:tcPr>
          <w:p>
            <w:pPr>
              <w:spacing w:line="240" w:lineRule="auto"/>
              <w:jc w:val="center"/>
              <w:rPr>
                <w:rFonts w:hint="eastAsia"/>
                <w:sz w:val="19"/>
              </w:rPr>
            </w:pPr>
            <w:r>
              <w:rPr>
                <w:rFonts w:hint="eastAsia"/>
                <w:sz w:val="19"/>
              </w:rPr>
              <w:t>6</w:t>
            </w:r>
          </w:p>
        </w:tc>
        <w:tc>
          <w:tcPr>
            <w:tcW w:w="1657" w:type="dxa"/>
            <w:shd w:val="clear" w:color="auto" w:fill="auto"/>
            <w:noWrap/>
            <w:vAlign w:val="center"/>
          </w:tcPr>
          <w:p>
            <w:pPr>
              <w:spacing w:line="240" w:lineRule="auto"/>
              <w:jc w:val="center"/>
              <w:rPr>
                <w:rFonts w:hint="eastAsia"/>
                <w:sz w:val="19"/>
              </w:rPr>
            </w:pPr>
            <w:r>
              <w:rPr>
                <w:rFonts w:hint="eastAsia"/>
                <w:sz w:val="19"/>
              </w:rPr>
              <w:t>本桓高速（本溪西2）</w:t>
            </w:r>
          </w:p>
        </w:tc>
        <w:tc>
          <w:tcPr>
            <w:tcW w:w="1920" w:type="dxa"/>
            <w:shd w:val="clear" w:color="auto" w:fill="auto"/>
            <w:noWrap/>
            <w:vAlign w:val="center"/>
          </w:tcPr>
          <w:p>
            <w:pPr>
              <w:spacing w:line="240" w:lineRule="auto"/>
              <w:jc w:val="center"/>
              <w:rPr>
                <w:rFonts w:hint="eastAsia"/>
                <w:sz w:val="19"/>
              </w:rPr>
            </w:pPr>
            <w:r>
              <w:rPr>
                <w:rFonts w:hint="eastAsia"/>
                <w:sz w:val="19"/>
              </w:rPr>
              <w:t>规划</w:t>
            </w:r>
          </w:p>
        </w:tc>
        <w:tc>
          <w:tcPr>
            <w:tcW w:w="492" w:type="pct"/>
            <w:shd w:val="clear" w:color="auto" w:fill="auto"/>
            <w:noWrap/>
            <w:vAlign w:val="center"/>
          </w:tcPr>
          <w:p>
            <w:pPr>
              <w:spacing w:line="240" w:lineRule="auto"/>
              <w:jc w:val="center"/>
              <w:rPr>
                <w:rFonts w:hint="eastAsia"/>
                <w:sz w:val="19"/>
              </w:rPr>
            </w:pPr>
            <w:r>
              <w:rPr>
                <w:rFonts w:hint="eastAsia"/>
                <w:sz w:val="19"/>
              </w:rPr>
              <w:t>新建公用</w:t>
            </w:r>
          </w:p>
        </w:tc>
        <w:tc>
          <w:tcPr>
            <w:tcW w:w="409" w:type="pct"/>
            <w:shd w:val="clear" w:color="auto" w:fill="auto"/>
            <w:noWrap/>
            <w:vAlign w:val="center"/>
          </w:tcPr>
          <w:p>
            <w:pPr>
              <w:spacing w:line="240" w:lineRule="auto"/>
              <w:jc w:val="center"/>
              <w:rPr>
                <w:rFonts w:hint="eastAsia"/>
                <w:sz w:val="19"/>
              </w:rPr>
            </w:pPr>
            <w:r>
              <w:rPr>
                <w:rFonts w:hint="eastAsia"/>
                <w:sz w:val="19"/>
              </w:rPr>
              <w:t>6</w:t>
            </w:r>
          </w:p>
        </w:tc>
        <w:tc>
          <w:tcPr>
            <w:tcW w:w="411" w:type="pct"/>
            <w:shd w:val="clear" w:color="auto" w:fill="auto"/>
            <w:noWrap/>
            <w:vAlign w:val="center"/>
          </w:tcPr>
          <w:p>
            <w:pPr>
              <w:spacing w:line="240" w:lineRule="auto"/>
              <w:jc w:val="center"/>
              <w:rPr>
                <w:rFonts w:hint="eastAsia"/>
                <w:sz w:val="19"/>
              </w:rPr>
            </w:pPr>
            <w:r>
              <w:rPr>
                <w:rFonts w:hint="eastAsia"/>
                <w:sz w:val="19"/>
              </w:rPr>
              <w:t>0</w:t>
            </w:r>
          </w:p>
        </w:tc>
        <w:tc>
          <w:tcPr>
            <w:tcW w:w="984" w:type="pct"/>
            <w:shd w:val="clear" w:color="auto" w:fill="auto"/>
            <w:noWrap/>
            <w:vAlign w:val="center"/>
          </w:tcPr>
          <w:p>
            <w:pPr>
              <w:spacing w:line="240" w:lineRule="auto"/>
              <w:jc w:val="center"/>
              <w:rPr>
                <w:rFonts w:hint="eastAsia"/>
                <w:sz w:val="19"/>
              </w:rPr>
            </w:pPr>
            <w:r>
              <w:rPr>
                <w:rFonts w:hint="eastAsia"/>
                <w:sz w:val="19"/>
              </w:rPr>
              <w:t>2</w:t>
            </w:r>
          </w:p>
        </w:tc>
        <w:tc>
          <w:tcPr>
            <w:tcW w:w="329" w:type="pct"/>
            <w:vAlign w:val="center"/>
          </w:tcPr>
          <w:p>
            <w:pPr>
              <w:spacing w:line="240" w:lineRule="auto"/>
              <w:jc w:val="center"/>
              <w:rPr>
                <w:rFonts w:ascii="Times New Roman" w:hAnsi="Times New Roman"/>
                <w:sz w:val="19"/>
                <w:szCs w:val="19"/>
              </w:rPr>
            </w:pPr>
            <w:r>
              <w:rPr>
                <w:rFonts w:hint="eastAsia" w:ascii="Times New Roman" w:hAnsi="Times New Roman"/>
                <w:sz w:val="19"/>
                <w:szCs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22" w:type="pct"/>
            <w:shd w:val="clear" w:color="auto" w:fill="auto"/>
            <w:noWrap/>
            <w:vAlign w:val="center"/>
          </w:tcPr>
          <w:p>
            <w:pPr>
              <w:spacing w:line="240" w:lineRule="auto"/>
              <w:jc w:val="center"/>
              <w:rPr>
                <w:rFonts w:hint="eastAsia"/>
                <w:sz w:val="19"/>
              </w:rPr>
            </w:pPr>
            <w:r>
              <w:rPr>
                <w:rFonts w:hint="eastAsia"/>
                <w:sz w:val="19"/>
              </w:rPr>
              <w:t>7</w:t>
            </w:r>
          </w:p>
        </w:tc>
        <w:tc>
          <w:tcPr>
            <w:tcW w:w="1657" w:type="dxa"/>
            <w:shd w:val="clear" w:color="auto" w:fill="auto"/>
            <w:noWrap/>
            <w:vAlign w:val="center"/>
          </w:tcPr>
          <w:p>
            <w:pPr>
              <w:spacing w:line="240" w:lineRule="auto"/>
              <w:jc w:val="center"/>
              <w:rPr>
                <w:rFonts w:hint="eastAsia"/>
                <w:sz w:val="19"/>
              </w:rPr>
            </w:pPr>
            <w:r>
              <w:rPr>
                <w:rFonts w:hint="eastAsia"/>
                <w:sz w:val="19"/>
              </w:rPr>
              <w:t>桓仁县物流中心</w:t>
            </w:r>
          </w:p>
        </w:tc>
        <w:tc>
          <w:tcPr>
            <w:tcW w:w="1920" w:type="dxa"/>
            <w:shd w:val="clear" w:color="auto" w:fill="auto"/>
            <w:noWrap/>
            <w:vAlign w:val="center"/>
          </w:tcPr>
          <w:p>
            <w:pPr>
              <w:spacing w:line="240" w:lineRule="auto"/>
              <w:jc w:val="center"/>
              <w:rPr>
                <w:rFonts w:hint="eastAsia"/>
                <w:sz w:val="19"/>
              </w:rPr>
            </w:pPr>
            <w:r>
              <w:rPr>
                <w:rFonts w:hint="eastAsia"/>
                <w:sz w:val="19"/>
              </w:rPr>
              <w:t>院内</w:t>
            </w:r>
          </w:p>
        </w:tc>
        <w:tc>
          <w:tcPr>
            <w:tcW w:w="492" w:type="pct"/>
            <w:shd w:val="clear" w:color="auto" w:fill="auto"/>
            <w:noWrap/>
            <w:vAlign w:val="center"/>
          </w:tcPr>
          <w:p>
            <w:pPr>
              <w:spacing w:line="240" w:lineRule="auto"/>
              <w:jc w:val="center"/>
              <w:rPr>
                <w:rFonts w:hint="eastAsia"/>
                <w:sz w:val="19"/>
              </w:rPr>
            </w:pPr>
            <w:r>
              <w:rPr>
                <w:rFonts w:hint="eastAsia"/>
                <w:sz w:val="19"/>
              </w:rPr>
              <w:t>新建公用</w:t>
            </w:r>
          </w:p>
        </w:tc>
        <w:tc>
          <w:tcPr>
            <w:tcW w:w="409" w:type="pct"/>
            <w:shd w:val="clear" w:color="auto" w:fill="auto"/>
            <w:noWrap/>
            <w:vAlign w:val="center"/>
          </w:tcPr>
          <w:p>
            <w:pPr>
              <w:spacing w:line="240" w:lineRule="auto"/>
              <w:jc w:val="center"/>
              <w:rPr>
                <w:rFonts w:hint="eastAsia"/>
                <w:sz w:val="19"/>
              </w:rPr>
            </w:pPr>
            <w:r>
              <w:rPr>
                <w:rFonts w:hint="eastAsia"/>
                <w:sz w:val="19"/>
              </w:rPr>
              <w:t>3</w:t>
            </w:r>
          </w:p>
        </w:tc>
        <w:tc>
          <w:tcPr>
            <w:tcW w:w="411" w:type="pct"/>
            <w:shd w:val="clear" w:color="auto" w:fill="auto"/>
            <w:noWrap/>
            <w:vAlign w:val="center"/>
          </w:tcPr>
          <w:p>
            <w:pPr>
              <w:spacing w:line="240" w:lineRule="auto"/>
              <w:jc w:val="center"/>
              <w:rPr>
                <w:rFonts w:hint="eastAsia"/>
                <w:sz w:val="19"/>
              </w:rPr>
            </w:pPr>
            <w:r>
              <w:rPr>
                <w:rFonts w:hint="eastAsia"/>
                <w:sz w:val="19"/>
              </w:rPr>
              <w:t>0</w:t>
            </w:r>
          </w:p>
        </w:tc>
        <w:tc>
          <w:tcPr>
            <w:tcW w:w="984" w:type="pct"/>
            <w:shd w:val="clear" w:color="auto" w:fill="auto"/>
            <w:noWrap/>
            <w:vAlign w:val="center"/>
          </w:tcPr>
          <w:p>
            <w:pPr>
              <w:spacing w:line="240" w:lineRule="auto"/>
              <w:jc w:val="center"/>
              <w:rPr>
                <w:rFonts w:hint="eastAsia"/>
                <w:sz w:val="19"/>
              </w:rPr>
            </w:pPr>
            <w:r>
              <w:rPr>
                <w:rFonts w:hint="eastAsia"/>
                <w:sz w:val="19"/>
              </w:rPr>
              <w:t>2</w:t>
            </w:r>
          </w:p>
        </w:tc>
        <w:tc>
          <w:tcPr>
            <w:tcW w:w="329" w:type="pct"/>
            <w:vAlign w:val="center"/>
          </w:tcPr>
          <w:p>
            <w:pPr>
              <w:spacing w:line="240" w:lineRule="auto"/>
              <w:jc w:val="center"/>
              <w:rPr>
                <w:rFonts w:ascii="Times New Roman" w:hAnsi="Times New Roman"/>
                <w:sz w:val="19"/>
                <w:szCs w:val="19"/>
              </w:rPr>
            </w:pPr>
            <w:r>
              <w:rPr>
                <w:rFonts w:hint="eastAsia" w:ascii="Times New Roman" w:hAnsi="Times New Roman"/>
                <w:sz w:val="19"/>
                <w:szCs w:val="19"/>
              </w:rPr>
              <w:t>远期</w:t>
            </w:r>
          </w:p>
        </w:tc>
      </w:tr>
    </w:tbl>
    <w:p>
      <w:pPr>
        <w:spacing w:before="312" w:beforeLines="100" w:line="360" w:lineRule="auto"/>
        <w:jc w:val="center"/>
        <w:rPr>
          <w:rFonts w:hint="eastAsia"/>
        </w:rPr>
      </w:pPr>
      <w:r>
        <w:rPr>
          <w:rFonts w:hint="eastAsia"/>
        </w:rPr>
        <w:drawing>
          <wp:inline distT="0" distB="0" distL="114300" distR="114300">
            <wp:extent cx="5272405" cy="3726180"/>
            <wp:effectExtent l="0" t="0" r="4445" b="7620"/>
            <wp:docPr id="6" name="图片 6" descr="本溪市桓仁满族自治县电动汽车充电设施规划图2.2-专用设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本溪市桓仁满族自治县电动汽车充电设施规划图2.2-专用设施"/>
                    <pic:cNvPicPr>
                      <a:picLocks noChangeAspect="1"/>
                    </pic:cNvPicPr>
                  </pic:nvPicPr>
                  <pic:blipFill>
                    <a:blip r:embed="rId60"/>
                    <a:stretch>
                      <a:fillRect/>
                    </a:stretch>
                  </pic:blipFill>
                  <pic:spPr>
                    <a:xfrm>
                      <a:off x="0" y="0"/>
                      <a:ext cx="5272405" cy="3726180"/>
                    </a:xfrm>
                    <a:prstGeom prst="rect">
                      <a:avLst/>
                    </a:prstGeom>
                  </pic:spPr>
                </pic:pic>
              </a:graphicData>
            </a:graphic>
          </wp:inline>
        </w:drawing>
      </w:r>
    </w:p>
    <w:p>
      <w:pPr>
        <w:pStyle w:val="8"/>
      </w:pPr>
      <w:r>
        <w:rPr>
          <w:rFonts w:hint="eastAsia"/>
        </w:rPr>
        <w:t>桓仁县物流车充电设施布局图</w:t>
      </w:r>
    </w:p>
    <w:p>
      <w:pPr>
        <w:ind w:firstLine="560"/>
        <w:rPr>
          <w:rFonts w:hint="eastAsia" w:cs="仿宋_GB2312"/>
          <w:szCs w:val="28"/>
        </w:rPr>
      </w:pPr>
      <w:r>
        <w:rPr>
          <w:rFonts w:hint="eastAsia" w:cs="仿宋_GB2312"/>
          <w:szCs w:val="28"/>
        </w:rPr>
        <w:t>规划2</w:t>
      </w:r>
      <w:r>
        <w:rPr>
          <w:rFonts w:cs="仿宋_GB2312"/>
          <w:szCs w:val="28"/>
        </w:rPr>
        <w:t>024-2028</w:t>
      </w:r>
      <w:r>
        <w:rPr>
          <w:rFonts w:hint="eastAsia" w:cs="仿宋_GB2312"/>
          <w:szCs w:val="28"/>
        </w:rPr>
        <w:t>年专用充电桩建设39台</w:t>
      </w:r>
      <w:r>
        <w:rPr>
          <w:rFonts w:hint="eastAsia"/>
        </w:rPr>
        <w:t>（充电枪39个）</w:t>
      </w:r>
      <w:r>
        <w:rPr>
          <w:rFonts w:hint="eastAsia" w:cs="仿宋_GB2312"/>
          <w:szCs w:val="28"/>
        </w:rPr>
        <w:t>，其中直流桩13台</w:t>
      </w:r>
      <w:r>
        <w:rPr>
          <w:rFonts w:hint="eastAsia"/>
        </w:rPr>
        <w:t>（充电枪413个）</w:t>
      </w:r>
      <w:r>
        <w:rPr>
          <w:rFonts w:hint="eastAsia" w:cs="仿宋_GB2312"/>
          <w:szCs w:val="28"/>
        </w:rPr>
        <w:t>，交流桩26台</w:t>
      </w:r>
      <w:r>
        <w:rPr>
          <w:rFonts w:hint="eastAsia"/>
        </w:rPr>
        <w:t>（充电枪26个）</w:t>
      </w:r>
      <w:r>
        <w:rPr>
          <w:rFonts w:hint="eastAsia" w:cs="仿宋_GB2312"/>
          <w:szCs w:val="28"/>
        </w:rPr>
        <w:t>；2</w:t>
      </w:r>
      <w:r>
        <w:rPr>
          <w:rFonts w:cs="仿宋_GB2312"/>
          <w:szCs w:val="28"/>
        </w:rPr>
        <w:t>029-2035</w:t>
      </w:r>
      <w:r>
        <w:rPr>
          <w:rFonts w:hint="eastAsia" w:cs="仿宋_GB2312"/>
          <w:szCs w:val="28"/>
        </w:rPr>
        <w:t>年专用充电桩建设8</w:t>
      </w:r>
      <w:r>
        <w:rPr>
          <w:rFonts w:cs="仿宋_GB2312"/>
          <w:szCs w:val="28"/>
        </w:rPr>
        <w:t>4</w:t>
      </w:r>
      <w:r>
        <w:rPr>
          <w:rFonts w:hint="eastAsia" w:cs="仿宋_GB2312"/>
          <w:szCs w:val="28"/>
        </w:rPr>
        <w:t>台</w:t>
      </w:r>
      <w:r>
        <w:rPr>
          <w:rFonts w:hint="eastAsia"/>
        </w:rPr>
        <w:t>（充电枪84个）</w:t>
      </w:r>
      <w:r>
        <w:rPr>
          <w:rFonts w:hint="eastAsia" w:cs="仿宋_GB2312"/>
          <w:szCs w:val="28"/>
        </w:rPr>
        <w:t>，其中直流桩2</w:t>
      </w:r>
      <w:r>
        <w:rPr>
          <w:rFonts w:cs="仿宋_GB2312"/>
          <w:szCs w:val="28"/>
        </w:rPr>
        <w:t>8</w:t>
      </w:r>
      <w:r>
        <w:rPr>
          <w:rFonts w:hint="eastAsia" w:cs="仿宋_GB2312"/>
          <w:szCs w:val="28"/>
        </w:rPr>
        <w:t>台</w:t>
      </w:r>
      <w:r>
        <w:rPr>
          <w:rFonts w:hint="eastAsia"/>
        </w:rPr>
        <w:t>（充电枪28个）</w:t>
      </w:r>
      <w:r>
        <w:rPr>
          <w:rFonts w:hint="eastAsia" w:cs="仿宋_GB2312"/>
          <w:szCs w:val="28"/>
        </w:rPr>
        <w:t>，交流桩5</w:t>
      </w:r>
      <w:r>
        <w:rPr>
          <w:rFonts w:cs="仿宋_GB2312"/>
          <w:szCs w:val="28"/>
        </w:rPr>
        <w:t>6</w:t>
      </w:r>
      <w:r>
        <w:rPr>
          <w:rFonts w:hint="eastAsia" w:cs="仿宋_GB2312"/>
          <w:szCs w:val="28"/>
        </w:rPr>
        <w:t>台</w:t>
      </w:r>
      <w:r>
        <w:rPr>
          <w:rFonts w:hint="eastAsia"/>
        </w:rPr>
        <w:t>（充电枪56个）</w:t>
      </w:r>
      <w:r>
        <w:rPr>
          <w:rFonts w:hint="eastAsia" w:cs="仿宋_GB2312"/>
          <w:szCs w:val="28"/>
        </w:rPr>
        <w:t>。</w:t>
      </w:r>
    </w:p>
    <w:p>
      <w:pPr>
        <w:ind w:firstLine="560"/>
        <w:rPr>
          <w:rFonts w:hint="eastAsia" w:cs="仿宋_GB2312"/>
          <w:szCs w:val="28"/>
        </w:rPr>
      </w:pPr>
      <w:r>
        <w:rPr>
          <w:rFonts w:hint="eastAsia" w:cs="仿宋_GB2312"/>
          <w:szCs w:val="28"/>
        </w:rPr>
        <w:t>专用充电站布点情况如下图所示。</w:t>
      </w:r>
    </w:p>
    <w:p>
      <w:pPr>
        <w:spacing w:line="240" w:lineRule="auto"/>
        <w:rPr>
          <w:rFonts w:hint="eastAsia"/>
        </w:rPr>
      </w:pPr>
      <w:r>
        <w:rPr>
          <w:rFonts w:hint="eastAsia"/>
        </w:rPr>
        <w:drawing>
          <wp:inline distT="0" distB="0" distL="114300" distR="114300">
            <wp:extent cx="5244465" cy="3710305"/>
            <wp:effectExtent l="0" t="0" r="13335" b="4445"/>
            <wp:docPr id="3" name="图片 3" descr="专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专用"/>
                    <pic:cNvPicPr>
                      <a:picLocks noChangeAspect="1"/>
                    </pic:cNvPicPr>
                  </pic:nvPicPr>
                  <pic:blipFill>
                    <a:blip r:embed="rId61"/>
                    <a:stretch>
                      <a:fillRect/>
                    </a:stretch>
                  </pic:blipFill>
                  <pic:spPr>
                    <a:xfrm>
                      <a:off x="0" y="0"/>
                      <a:ext cx="5244465" cy="3710305"/>
                    </a:xfrm>
                    <a:prstGeom prst="rect">
                      <a:avLst/>
                    </a:prstGeom>
                  </pic:spPr>
                </pic:pic>
              </a:graphicData>
            </a:graphic>
          </wp:inline>
        </w:drawing>
      </w:r>
    </w:p>
    <w:p>
      <w:pPr>
        <w:pStyle w:val="8"/>
      </w:pPr>
      <w:r>
        <w:rPr>
          <w:rFonts w:hint="eastAsia"/>
        </w:rPr>
        <w:t>桓仁满族自治县2</w:t>
      </w:r>
      <w:r>
        <w:t>035</w:t>
      </w:r>
      <w:r>
        <w:rPr>
          <w:rFonts w:hint="eastAsia"/>
        </w:rPr>
        <w:t>年电动汽车专用充电设施布局图</w:t>
      </w:r>
    </w:p>
    <w:p>
      <w:pPr>
        <w:pStyle w:val="7"/>
      </w:pPr>
      <w:r>
        <w:rPr>
          <w:rFonts w:hint="eastAsia"/>
        </w:rPr>
        <w:t>桓仁满族自治县专用充电设施规划项目表</w:t>
      </w:r>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28" w:type="dxa"/>
          <w:left w:w="28" w:type="dxa"/>
          <w:bottom w:w="28" w:type="dxa"/>
          <w:right w:w="28" w:type="dxa"/>
        </w:tblCellMar>
      </w:tblPr>
      <w:tblGrid>
        <w:gridCol w:w="326"/>
        <w:gridCol w:w="1801"/>
        <w:gridCol w:w="3413"/>
        <w:gridCol w:w="546"/>
        <w:gridCol w:w="708"/>
        <w:gridCol w:w="89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326" w:type="dxa"/>
            <w:vMerge w:val="restart"/>
            <w:shd w:val="clear" w:color="auto" w:fill="D9D9D9"/>
            <w:noWrap/>
            <w:vAlign w:val="center"/>
          </w:tcPr>
          <w:p>
            <w:pPr>
              <w:spacing w:line="240" w:lineRule="auto"/>
              <w:jc w:val="center"/>
              <w:rPr>
                <w:rFonts w:hint="eastAsia"/>
                <w:b/>
                <w:sz w:val="19"/>
              </w:rPr>
            </w:pPr>
            <w:r>
              <w:rPr>
                <w:rFonts w:hint="eastAsia"/>
                <w:b/>
                <w:sz w:val="19"/>
              </w:rPr>
              <w:t>序号</w:t>
            </w:r>
          </w:p>
        </w:tc>
        <w:tc>
          <w:tcPr>
            <w:tcW w:w="1801" w:type="dxa"/>
            <w:vMerge w:val="restart"/>
            <w:shd w:val="clear" w:color="auto" w:fill="D9D9D9"/>
            <w:noWrap/>
            <w:vAlign w:val="center"/>
          </w:tcPr>
          <w:p>
            <w:pPr>
              <w:spacing w:line="240" w:lineRule="auto"/>
              <w:jc w:val="center"/>
              <w:rPr>
                <w:rFonts w:hint="eastAsia"/>
                <w:b/>
                <w:sz w:val="19"/>
              </w:rPr>
            </w:pPr>
            <w:r>
              <w:rPr>
                <w:rFonts w:hint="eastAsia"/>
                <w:b/>
                <w:sz w:val="19"/>
              </w:rPr>
              <w:t>项目名称</w:t>
            </w:r>
          </w:p>
        </w:tc>
        <w:tc>
          <w:tcPr>
            <w:tcW w:w="3413" w:type="dxa"/>
            <w:vMerge w:val="restart"/>
            <w:shd w:val="clear" w:color="auto" w:fill="D9D9D9"/>
            <w:noWrap/>
            <w:vAlign w:val="center"/>
          </w:tcPr>
          <w:p>
            <w:pPr>
              <w:spacing w:line="240" w:lineRule="auto"/>
              <w:jc w:val="center"/>
              <w:rPr>
                <w:rFonts w:hint="eastAsia"/>
                <w:b/>
                <w:sz w:val="19"/>
              </w:rPr>
            </w:pPr>
            <w:r>
              <w:rPr>
                <w:rFonts w:hint="eastAsia"/>
                <w:b/>
                <w:sz w:val="19"/>
              </w:rPr>
              <w:t>位置</w:t>
            </w:r>
          </w:p>
        </w:tc>
        <w:tc>
          <w:tcPr>
            <w:tcW w:w="546" w:type="dxa"/>
            <w:vMerge w:val="restart"/>
            <w:shd w:val="clear" w:color="auto" w:fill="D9D9D9"/>
            <w:noWrap/>
            <w:vAlign w:val="center"/>
          </w:tcPr>
          <w:p>
            <w:pPr>
              <w:spacing w:line="240" w:lineRule="auto"/>
              <w:jc w:val="center"/>
              <w:rPr>
                <w:rFonts w:hint="eastAsia"/>
                <w:b/>
                <w:sz w:val="19"/>
              </w:rPr>
            </w:pPr>
            <w:r>
              <w:rPr>
                <w:rFonts w:hint="eastAsia"/>
                <w:b/>
                <w:sz w:val="19"/>
              </w:rPr>
              <w:t>类型</w:t>
            </w:r>
          </w:p>
        </w:tc>
        <w:tc>
          <w:tcPr>
            <w:tcW w:w="1605" w:type="dxa"/>
            <w:gridSpan w:val="2"/>
            <w:shd w:val="clear" w:color="auto" w:fill="D9D9D9"/>
            <w:noWrap/>
            <w:vAlign w:val="center"/>
          </w:tcPr>
          <w:p>
            <w:pPr>
              <w:spacing w:line="240" w:lineRule="auto"/>
              <w:jc w:val="center"/>
              <w:rPr>
                <w:rFonts w:hint="eastAsia"/>
                <w:b/>
                <w:sz w:val="19"/>
              </w:rPr>
            </w:pPr>
            <w:r>
              <w:rPr>
                <w:rFonts w:hint="eastAsia"/>
                <w:b/>
                <w:sz w:val="19"/>
              </w:rPr>
              <w:t>设置充电基础设施数量（个）</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326" w:type="dxa"/>
            <w:vMerge w:val="continue"/>
            <w:shd w:val="clear" w:color="auto" w:fill="D9D9D9"/>
            <w:vAlign w:val="center"/>
          </w:tcPr>
          <w:p>
            <w:pPr>
              <w:spacing w:line="240" w:lineRule="auto"/>
              <w:jc w:val="center"/>
              <w:rPr>
                <w:rFonts w:hint="eastAsia"/>
                <w:b/>
                <w:sz w:val="19"/>
              </w:rPr>
            </w:pPr>
          </w:p>
        </w:tc>
        <w:tc>
          <w:tcPr>
            <w:tcW w:w="1801" w:type="dxa"/>
            <w:vMerge w:val="continue"/>
            <w:shd w:val="clear" w:color="auto" w:fill="D9D9D9"/>
            <w:vAlign w:val="center"/>
          </w:tcPr>
          <w:p>
            <w:pPr>
              <w:spacing w:line="240" w:lineRule="auto"/>
              <w:jc w:val="center"/>
              <w:rPr>
                <w:rFonts w:hint="eastAsia"/>
                <w:b/>
                <w:sz w:val="19"/>
              </w:rPr>
            </w:pPr>
          </w:p>
        </w:tc>
        <w:tc>
          <w:tcPr>
            <w:tcW w:w="3413" w:type="dxa"/>
            <w:vMerge w:val="continue"/>
            <w:shd w:val="clear" w:color="auto" w:fill="D9D9D9"/>
            <w:vAlign w:val="center"/>
          </w:tcPr>
          <w:p>
            <w:pPr>
              <w:spacing w:line="240" w:lineRule="auto"/>
              <w:jc w:val="center"/>
              <w:rPr>
                <w:rFonts w:hint="eastAsia"/>
                <w:b/>
                <w:sz w:val="19"/>
              </w:rPr>
            </w:pPr>
          </w:p>
        </w:tc>
        <w:tc>
          <w:tcPr>
            <w:tcW w:w="546" w:type="dxa"/>
            <w:vMerge w:val="continue"/>
            <w:shd w:val="clear" w:color="auto" w:fill="D9D9D9"/>
            <w:vAlign w:val="center"/>
          </w:tcPr>
          <w:p>
            <w:pPr>
              <w:spacing w:line="240" w:lineRule="auto"/>
              <w:jc w:val="center"/>
              <w:rPr>
                <w:rFonts w:hint="eastAsia"/>
                <w:b/>
                <w:sz w:val="19"/>
              </w:rPr>
            </w:pPr>
          </w:p>
        </w:tc>
        <w:tc>
          <w:tcPr>
            <w:tcW w:w="708" w:type="dxa"/>
            <w:shd w:val="clear" w:color="auto" w:fill="D9D9D9"/>
            <w:noWrap/>
            <w:vAlign w:val="center"/>
          </w:tcPr>
          <w:p>
            <w:pPr>
              <w:spacing w:line="240" w:lineRule="auto"/>
              <w:jc w:val="center"/>
              <w:rPr>
                <w:rFonts w:hint="eastAsia"/>
                <w:b/>
                <w:sz w:val="19"/>
              </w:rPr>
            </w:pPr>
            <w:r>
              <w:rPr>
                <w:rFonts w:hint="eastAsia"/>
                <w:b/>
                <w:sz w:val="19"/>
              </w:rPr>
              <w:t>快充</w:t>
            </w:r>
          </w:p>
        </w:tc>
        <w:tc>
          <w:tcPr>
            <w:tcW w:w="897" w:type="dxa"/>
            <w:shd w:val="clear" w:color="auto" w:fill="D9D9D9"/>
            <w:noWrap/>
            <w:vAlign w:val="center"/>
          </w:tcPr>
          <w:p>
            <w:pPr>
              <w:spacing w:line="240" w:lineRule="auto"/>
              <w:jc w:val="center"/>
              <w:rPr>
                <w:rFonts w:hint="eastAsia"/>
                <w:b/>
                <w:sz w:val="19"/>
              </w:rPr>
            </w:pPr>
            <w:r>
              <w:rPr>
                <w:rFonts w:hint="eastAsia"/>
                <w:b/>
                <w:sz w:val="19"/>
              </w:rPr>
              <w:t>慢充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26" w:type="dxa"/>
            <w:shd w:val="clear" w:color="auto" w:fill="auto"/>
            <w:noWrap/>
            <w:vAlign w:val="center"/>
          </w:tcPr>
          <w:p>
            <w:pPr>
              <w:spacing w:line="240" w:lineRule="auto"/>
              <w:jc w:val="center"/>
              <w:rPr>
                <w:rFonts w:hint="eastAsia"/>
                <w:sz w:val="19"/>
              </w:rPr>
            </w:pPr>
            <w:r>
              <w:rPr>
                <w:rFonts w:hint="eastAsia"/>
                <w:sz w:val="19"/>
              </w:rPr>
              <w:t>1</w:t>
            </w:r>
          </w:p>
        </w:tc>
        <w:tc>
          <w:tcPr>
            <w:tcW w:w="1801" w:type="dxa"/>
            <w:shd w:val="clear" w:color="auto" w:fill="auto"/>
            <w:noWrap/>
            <w:vAlign w:val="center"/>
          </w:tcPr>
          <w:p>
            <w:pPr>
              <w:spacing w:line="240" w:lineRule="auto"/>
              <w:jc w:val="center"/>
              <w:rPr>
                <w:rFonts w:hint="eastAsia"/>
                <w:sz w:val="19"/>
              </w:rPr>
            </w:pPr>
            <w:r>
              <w:rPr>
                <w:rFonts w:hint="eastAsia"/>
                <w:sz w:val="19"/>
              </w:rPr>
              <w:t>桓仁满族自治县医院</w:t>
            </w:r>
          </w:p>
        </w:tc>
        <w:tc>
          <w:tcPr>
            <w:tcW w:w="3413" w:type="dxa"/>
            <w:shd w:val="clear" w:color="auto" w:fill="auto"/>
            <w:noWrap/>
            <w:vAlign w:val="center"/>
          </w:tcPr>
          <w:p>
            <w:pPr>
              <w:spacing w:line="240" w:lineRule="auto"/>
              <w:jc w:val="center"/>
              <w:rPr>
                <w:rFonts w:hint="eastAsia"/>
                <w:sz w:val="19"/>
              </w:rPr>
            </w:pPr>
            <w:r>
              <w:rPr>
                <w:rFonts w:hint="eastAsia"/>
                <w:sz w:val="19"/>
              </w:rPr>
              <w:t>桓仁镇长江大街66号</w:t>
            </w:r>
          </w:p>
        </w:tc>
        <w:tc>
          <w:tcPr>
            <w:tcW w:w="546"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5</w:t>
            </w:r>
          </w:p>
        </w:tc>
        <w:tc>
          <w:tcPr>
            <w:tcW w:w="897" w:type="dxa"/>
            <w:shd w:val="clear" w:color="auto" w:fill="auto"/>
            <w:noWrap/>
            <w:vAlign w:val="center"/>
          </w:tcPr>
          <w:p>
            <w:pPr>
              <w:spacing w:line="240" w:lineRule="auto"/>
              <w:jc w:val="center"/>
              <w:rPr>
                <w:rFonts w:hint="eastAsia"/>
                <w:sz w:val="19"/>
              </w:rPr>
            </w:pPr>
            <w:r>
              <w:rPr>
                <w:rFonts w:hint="eastAsia"/>
                <w:sz w:val="19"/>
              </w:rPr>
              <w:t>10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26" w:type="dxa"/>
            <w:shd w:val="clear" w:color="auto" w:fill="auto"/>
            <w:noWrap/>
            <w:vAlign w:val="center"/>
          </w:tcPr>
          <w:p>
            <w:pPr>
              <w:spacing w:line="240" w:lineRule="auto"/>
              <w:jc w:val="center"/>
              <w:rPr>
                <w:rFonts w:hint="eastAsia"/>
                <w:sz w:val="19"/>
              </w:rPr>
            </w:pPr>
            <w:r>
              <w:rPr>
                <w:rFonts w:hint="eastAsia"/>
                <w:sz w:val="19"/>
              </w:rPr>
              <w:t>2</w:t>
            </w:r>
          </w:p>
        </w:tc>
        <w:tc>
          <w:tcPr>
            <w:tcW w:w="1801" w:type="dxa"/>
            <w:shd w:val="clear" w:color="auto" w:fill="auto"/>
            <w:noWrap/>
            <w:vAlign w:val="center"/>
          </w:tcPr>
          <w:p>
            <w:pPr>
              <w:spacing w:line="240" w:lineRule="auto"/>
              <w:jc w:val="center"/>
              <w:rPr>
                <w:rFonts w:hint="eastAsia"/>
                <w:sz w:val="19"/>
              </w:rPr>
            </w:pPr>
            <w:r>
              <w:rPr>
                <w:rFonts w:hint="eastAsia"/>
                <w:sz w:val="19"/>
              </w:rPr>
              <w:t>桓仁满族自治县政府广场门前</w:t>
            </w:r>
          </w:p>
        </w:tc>
        <w:tc>
          <w:tcPr>
            <w:tcW w:w="3413" w:type="dxa"/>
            <w:shd w:val="clear" w:color="auto" w:fill="auto"/>
            <w:noWrap/>
            <w:vAlign w:val="center"/>
          </w:tcPr>
          <w:p>
            <w:pPr>
              <w:spacing w:line="240" w:lineRule="auto"/>
              <w:jc w:val="center"/>
              <w:rPr>
                <w:rFonts w:hint="eastAsia"/>
                <w:sz w:val="19"/>
              </w:rPr>
            </w:pPr>
            <w:r>
              <w:rPr>
                <w:rFonts w:hint="eastAsia"/>
                <w:sz w:val="19"/>
              </w:rPr>
              <w:t>桓仁满族自治县海河街1号</w:t>
            </w:r>
          </w:p>
        </w:tc>
        <w:tc>
          <w:tcPr>
            <w:tcW w:w="546"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97" w:type="dxa"/>
            <w:shd w:val="clear" w:color="auto" w:fill="auto"/>
            <w:noWrap/>
            <w:vAlign w:val="center"/>
          </w:tcPr>
          <w:p>
            <w:pPr>
              <w:spacing w:line="240" w:lineRule="auto"/>
              <w:jc w:val="center"/>
              <w:rPr>
                <w:rFonts w:hint="eastAsia"/>
                <w:sz w:val="19"/>
              </w:rPr>
            </w:pPr>
            <w:r>
              <w:rPr>
                <w:rFonts w:hint="eastAsia"/>
                <w:sz w:val="19"/>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26" w:type="dxa"/>
            <w:shd w:val="clear" w:color="auto" w:fill="auto"/>
            <w:noWrap/>
            <w:vAlign w:val="center"/>
          </w:tcPr>
          <w:p>
            <w:pPr>
              <w:spacing w:line="240" w:lineRule="auto"/>
              <w:jc w:val="center"/>
              <w:rPr>
                <w:rFonts w:hint="eastAsia"/>
                <w:sz w:val="19"/>
              </w:rPr>
            </w:pPr>
            <w:r>
              <w:rPr>
                <w:rFonts w:hint="eastAsia"/>
                <w:sz w:val="19"/>
              </w:rPr>
              <w:t>3</w:t>
            </w:r>
          </w:p>
        </w:tc>
        <w:tc>
          <w:tcPr>
            <w:tcW w:w="1801" w:type="dxa"/>
            <w:shd w:val="clear" w:color="auto" w:fill="auto"/>
            <w:noWrap/>
            <w:vAlign w:val="center"/>
          </w:tcPr>
          <w:p>
            <w:pPr>
              <w:spacing w:line="240" w:lineRule="auto"/>
              <w:jc w:val="center"/>
              <w:rPr>
                <w:rFonts w:hint="eastAsia"/>
                <w:sz w:val="19"/>
              </w:rPr>
            </w:pPr>
            <w:r>
              <w:rPr>
                <w:rFonts w:hint="eastAsia"/>
                <w:sz w:val="19"/>
              </w:rPr>
              <w:t>华来镇政府</w:t>
            </w:r>
          </w:p>
        </w:tc>
        <w:tc>
          <w:tcPr>
            <w:tcW w:w="3413" w:type="dxa"/>
            <w:shd w:val="clear" w:color="auto" w:fill="auto"/>
            <w:noWrap/>
            <w:vAlign w:val="center"/>
          </w:tcPr>
          <w:p>
            <w:pPr>
              <w:spacing w:line="240" w:lineRule="auto"/>
              <w:jc w:val="center"/>
              <w:rPr>
                <w:rFonts w:hint="eastAsia"/>
                <w:sz w:val="19"/>
              </w:rPr>
            </w:pPr>
            <w:r>
              <w:rPr>
                <w:rFonts w:hint="eastAsia"/>
                <w:sz w:val="19"/>
              </w:rPr>
              <w:t>桓仁满族自治县木通线与光复路交叉路口往南</w:t>
            </w:r>
          </w:p>
        </w:tc>
        <w:tc>
          <w:tcPr>
            <w:tcW w:w="546"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97" w:type="dxa"/>
            <w:shd w:val="clear" w:color="auto" w:fill="auto"/>
            <w:noWrap/>
            <w:vAlign w:val="center"/>
          </w:tcPr>
          <w:p>
            <w:pPr>
              <w:spacing w:line="240" w:lineRule="auto"/>
              <w:jc w:val="center"/>
              <w:rPr>
                <w:rFonts w:hint="eastAsia"/>
                <w:sz w:val="19"/>
              </w:rPr>
            </w:pPr>
            <w:r>
              <w:rPr>
                <w:rFonts w:hint="eastAsia"/>
                <w:sz w:val="19"/>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26" w:type="dxa"/>
            <w:shd w:val="clear" w:color="auto" w:fill="auto"/>
            <w:noWrap/>
            <w:vAlign w:val="center"/>
          </w:tcPr>
          <w:p>
            <w:pPr>
              <w:spacing w:line="240" w:lineRule="auto"/>
              <w:jc w:val="center"/>
              <w:rPr>
                <w:rFonts w:hint="eastAsia"/>
                <w:sz w:val="19"/>
              </w:rPr>
            </w:pPr>
            <w:r>
              <w:rPr>
                <w:rFonts w:hint="eastAsia"/>
                <w:sz w:val="19"/>
              </w:rPr>
              <w:t>4</w:t>
            </w:r>
          </w:p>
        </w:tc>
        <w:tc>
          <w:tcPr>
            <w:tcW w:w="1801" w:type="dxa"/>
            <w:shd w:val="clear" w:color="auto" w:fill="auto"/>
            <w:noWrap/>
            <w:vAlign w:val="center"/>
          </w:tcPr>
          <w:p>
            <w:pPr>
              <w:spacing w:line="240" w:lineRule="auto"/>
              <w:jc w:val="center"/>
              <w:rPr>
                <w:rFonts w:hint="eastAsia"/>
                <w:sz w:val="19"/>
              </w:rPr>
            </w:pPr>
            <w:r>
              <w:rPr>
                <w:rFonts w:hint="eastAsia"/>
                <w:sz w:val="19"/>
              </w:rPr>
              <w:t>黑沟乡政府广场</w:t>
            </w:r>
          </w:p>
        </w:tc>
        <w:tc>
          <w:tcPr>
            <w:tcW w:w="3413" w:type="dxa"/>
            <w:shd w:val="clear" w:color="auto" w:fill="auto"/>
            <w:noWrap/>
            <w:vAlign w:val="center"/>
          </w:tcPr>
          <w:p>
            <w:pPr>
              <w:spacing w:line="240" w:lineRule="auto"/>
              <w:jc w:val="center"/>
              <w:rPr>
                <w:rFonts w:hint="eastAsia"/>
                <w:sz w:val="19"/>
              </w:rPr>
            </w:pPr>
            <w:r>
              <w:rPr>
                <w:rFonts w:hint="eastAsia"/>
                <w:sz w:val="19"/>
              </w:rPr>
              <w:t>桓仁满族自治县政府路158-1号</w:t>
            </w:r>
          </w:p>
        </w:tc>
        <w:tc>
          <w:tcPr>
            <w:tcW w:w="546"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97" w:type="dxa"/>
            <w:shd w:val="clear" w:color="auto" w:fill="auto"/>
            <w:noWrap/>
            <w:vAlign w:val="center"/>
          </w:tcPr>
          <w:p>
            <w:pPr>
              <w:spacing w:line="240" w:lineRule="auto"/>
              <w:jc w:val="center"/>
              <w:rPr>
                <w:rFonts w:hint="eastAsia"/>
                <w:sz w:val="19"/>
              </w:rPr>
            </w:pPr>
            <w:r>
              <w:rPr>
                <w:rFonts w:hint="eastAsia"/>
                <w:sz w:val="19"/>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26" w:type="dxa"/>
            <w:shd w:val="clear" w:color="auto" w:fill="auto"/>
            <w:noWrap/>
            <w:vAlign w:val="center"/>
          </w:tcPr>
          <w:p>
            <w:pPr>
              <w:spacing w:line="240" w:lineRule="auto"/>
              <w:jc w:val="center"/>
              <w:rPr>
                <w:rFonts w:hint="eastAsia"/>
                <w:sz w:val="19"/>
              </w:rPr>
            </w:pPr>
            <w:r>
              <w:rPr>
                <w:rFonts w:hint="eastAsia"/>
                <w:sz w:val="19"/>
              </w:rPr>
              <w:t>5</w:t>
            </w:r>
          </w:p>
        </w:tc>
        <w:tc>
          <w:tcPr>
            <w:tcW w:w="1801" w:type="dxa"/>
            <w:shd w:val="clear" w:color="auto" w:fill="auto"/>
            <w:noWrap/>
            <w:vAlign w:val="center"/>
          </w:tcPr>
          <w:p>
            <w:pPr>
              <w:spacing w:line="240" w:lineRule="auto"/>
              <w:jc w:val="center"/>
              <w:rPr>
                <w:rFonts w:hint="eastAsia"/>
                <w:sz w:val="19"/>
              </w:rPr>
            </w:pPr>
            <w:r>
              <w:rPr>
                <w:rFonts w:hint="eastAsia"/>
                <w:sz w:val="19"/>
              </w:rPr>
              <w:t>北甸子乡人民政府广场</w:t>
            </w:r>
          </w:p>
        </w:tc>
        <w:tc>
          <w:tcPr>
            <w:tcW w:w="3413" w:type="dxa"/>
            <w:shd w:val="clear" w:color="auto" w:fill="auto"/>
            <w:noWrap/>
            <w:vAlign w:val="center"/>
          </w:tcPr>
          <w:p>
            <w:pPr>
              <w:spacing w:line="240" w:lineRule="auto"/>
              <w:jc w:val="center"/>
              <w:rPr>
                <w:rFonts w:hint="eastAsia"/>
                <w:sz w:val="19"/>
              </w:rPr>
            </w:pPr>
            <w:r>
              <w:rPr>
                <w:rFonts w:hint="eastAsia"/>
                <w:sz w:val="19"/>
              </w:rPr>
              <w:t>桓仁满族自治县友谊大街24号</w:t>
            </w:r>
          </w:p>
        </w:tc>
        <w:tc>
          <w:tcPr>
            <w:tcW w:w="546"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97" w:type="dxa"/>
            <w:shd w:val="clear" w:color="auto" w:fill="auto"/>
            <w:noWrap/>
            <w:vAlign w:val="center"/>
          </w:tcPr>
          <w:p>
            <w:pPr>
              <w:spacing w:line="240" w:lineRule="auto"/>
              <w:jc w:val="center"/>
              <w:rPr>
                <w:rFonts w:hint="eastAsia"/>
                <w:sz w:val="19"/>
              </w:rPr>
            </w:pPr>
            <w:r>
              <w:rPr>
                <w:rFonts w:hint="eastAsia"/>
                <w:sz w:val="19"/>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26" w:type="dxa"/>
            <w:shd w:val="clear" w:color="auto" w:fill="auto"/>
            <w:noWrap/>
            <w:vAlign w:val="center"/>
          </w:tcPr>
          <w:p>
            <w:pPr>
              <w:spacing w:line="240" w:lineRule="auto"/>
              <w:jc w:val="center"/>
              <w:rPr>
                <w:rFonts w:hint="eastAsia"/>
                <w:sz w:val="19"/>
              </w:rPr>
            </w:pPr>
            <w:r>
              <w:rPr>
                <w:rFonts w:hint="eastAsia"/>
                <w:sz w:val="19"/>
              </w:rPr>
              <w:t>6</w:t>
            </w:r>
          </w:p>
        </w:tc>
        <w:tc>
          <w:tcPr>
            <w:tcW w:w="1801" w:type="dxa"/>
            <w:shd w:val="clear" w:color="auto" w:fill="auto"/>
            <w:noWrap/>
            <w:vAlign w:val="center"/>
          </w:tcPr>
          <w:p>
            <w:pPr>
              <w:spacing w:line="240" w:lineRule="auto"/>
              <w:jc w:val="center"/>
              <w:rPr>
                <w:rFonts w:hint="eastAsia"/>
                <w:sz w:val="19"/>
              </w:rPr>
            </w:pPr>
            <w:r>
              <w:rPr>
                <w:rFonts w:hint="eastAsia"/>
                <w:sz w:val="19"/>
              </w:rPr>
              <w:t>普乐堡镇政府广场</w:t>
            </w:r>
          </w:p>
        </w:tc>
        <w:tc>
          <w:tcPr>
            <w:tcW w:w="3413" w:type="dxa"/>
            <w:shd w:val="clear" w:color="auto" w:fill="auto"/>
            <w:noWrap/>
            <w:vAlign w:val="center"/>
          </w:tcPr>
          <w:p>
            <w:pPr>
              <w:spacing w:line="240" w:lineRule="auto"/>
              <w:jc w:val="center"/>
              <w:rPr>
                <w:rFonts w:hint="eastAsia"/>
                <w:sz w:val="19"/>
              </w:rPr>
            </w:pPr>
            <w:r>
              <w:rPr>
                <w:rFonts w:hint="eastAsia"/>
                <w:sz w:val="19"/>
              </w:rPr>
              <w:t>桓仁满族自治县普乐堡镇大雅河中街40号</w:t>
            </w:r>
          </w:p>
        </w:tc>
        <w:tc>
          <w:tcPr>
            <w:tcW w:w="546"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97" w:type="dxa"/>
            <w:shd w:val="clear" w:color="auto" w:fill="auto"/>
            <w:noWrap/>
            <w:vAlign w:val="center"/>
          </w:tcPr>
          <w:p>
            <w:pPr>
              <w:spacing w:line="240" w:lineRule="auto"/>
              <w:jc w:val="center"/>
              <w:rPr>
                <w:rFonts w:hint="eastAsia"/>
                <w:sz w:val="19"/>
              </w:rPr>
            </w:pPr>
            <w:r>
              <w:rPr>
                <w:rFonts w:hint="eastAsia"/>
                <w:sz w:val="19"/>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26" w:type="dxa"/>
            <w:shd w:val="clear" w:color="auto" w:fill="auto"/>
            <w:noWrap/>
            <w:vAlign w:val="center"/>
          </w:tcPr>
          <w:p>
            <w:pPr>
              <w:spacing w:line="240" w:lineRule="auto"/>
              <w:jc w:val="center"/>
              <w:rPr>
                <w:rFonts w:hint="eastAsia"/>
                <w:sz w:val="19"/>
              </w:rPr>
            </w:pPr>
            <w:r>
              <w:rPr>
                <w:rFonts w:hint="eastAsia"/>
                <w:sz w:val="19"/>
              </w:rPr>
              <w:t>7</w:t>
            </w:r>
          </w:p>
        </w:tc>
        <w:tc>
          <w:tcPr>
            <w:tcW w:w="1801" w:type="dxa"/>
            <w:shd w:val="clear" w:color="auto" w:fill="auto"/>
            <w:noWrap/>
            <w:vAlign w:val="center"/>
          </w:tcPr>
          <w:p>
            <w:pPr>
              <w:spacing w:line="240" w:lineRule="auto"/>
              <w:jc w:val="center"/>
              <w:rPr>
                <w:rFonts w:hint="eastAsia"/>
                <w:sz w:val="19"/>
              </w:rPr>
            </w:pPr>
            <w:r>
              <w:rPr>
                <w:rFonts w:hint="eastAsia"/>
                <w:sz w:val="19"/>
              </w:rPr>
              <w:t>向阳乡政府停车场</w:t>
            </w:r>
          </w:p>
        </w:tc>
        <w:tc>
          <w:tcPr>
            <w:tcW w:w="3413" w:type="dxa"/>
            <w:shd w:val="clear" w:color="auto" w:fill="auto"/>
            <w:noWrap/>
            <w:vAlign w:val="center"/>
          </w:tcPr>
          <w:p>
            <w:pPr>
              <w:spacing w:line="240" w:lineRule="auto"/>
              <w:jc w:val="center"/>
              <w:rPr>
                <w:rFonts w:hint="eastAsia"/>
                <w:sz w:val="19"/>
              </w:rPr>
            </w:pPr>
            <w:r>
              <w:rPr>
                <w:rFonts w:hint="eastAsia"/>
                <w:sz w:val="19"/>
              </w:rPr>
              <w:t>桓仁满族自治县凤向线</w:t>
            </w:r>
          </w:p>
        </w:tc>
        <w:tc>
          <w:tcPr>
            <w:tcW w:w="546"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97" w:type="dxa"/>
            <w:shd w:val="clear" w:color="auto" w:fill="auto"/>
            <w:noWrap/>
            <w:vAlign w:val="center"/>
          </w:tcPr>
          <w:p>
            <w:pPr>
              <w:spacing w:line="240" w:lineRule="auto"/>
              <w:jc w:val="center"/>
              <w:rPr>
                <w:rFonts w:hint="eastAsia"/>
                <w:sz w:val="19"/>
              </w:rPr>
            </w:pPr>
            <w:r>
              <w:rPr>
                <w:rFonts w:hint="eastAsia"/>
                <w:sz w:val="19"/>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26" w:type="dxa"/>
            <w:shd w:val="clear" w:color="auto" w:fill="auto"/>
            <w:noWrap/>
            <w:vAlign w:val="center"/>
          </w:tcPr>
          <w:p>
            <w:pPr>
              <w:spacing w:line="240" w:lineRule="auto"/>
              <w:jc w:val="center"/>
              <w:rPr>
                <w:rFonts w:hint="eastAsia"/>
                <w:sz w:val="19"/>
              </w:rPr>
            </w:pPr>
            <w:r>
              <w:rPr>
                <w:rFonts w:hint="eastAsia"/>
                <w:sz w:val="19"/>
              </w:rPr>
              <w:t>8</w:t>
            </w:r>
          </w:p>
        </w:tc>
        <w:tc>
          <w:tcPr>
            <w:tcW w:w="1801" w:type="dxa"/>
            <w:shd w:val="clear" w:color="auto" w:fill="auto"/>
            <w:noWrap/>
            <w:vAlign w:val="center"/>
          </w:tcPr>
          <w:p>
            <w:pPr>
              <w:spacing w:line="240" w:lineRule="auto"/>
              <w:jc w:val="center"/>
              <w:rPr>
                <w:rFonts w:hint="eastAsia"/>
                <w:sz w:val="19"/>
              </w:rPr>
            </w:pPr>
            <w:r>
              <w:rPr>
                <w:rFonts w:hint="eastAsia"/>
                <w:sz w:val="19"/>
              </w:rPr>
              <w:t>二棚甸子学校</w:t>
            </w:r>
          </w:p>
        </w:tc>
        <w:tc>
          <w:tcPr>
            <w:tcW w:w="3413" w:type="dxa"/>
            <w:shd w:val="clear" w:color="auto" w:fill="auto"/>
            <w:noWrap/>
            <w:vAlign w:val="center"/>
          </w:tcPr>
          <w:p>
            <w:pPr>
              <w:spacing w:line="240" w:lineRule="auto"/>
              <w:jc w:val="center"/>
              <w:rPr>
                <w:rFonts w:hint="eastAsia"/>
                <w:sz w:val="19"/>
              </w:rPr>
            </w:pPr>
            <w:r>
              <w:rPr>
                <w:rFonts w:hint="eastAsia"/>
                <w:sz w:val="19"/>
              </w:rPr>
              <w:t>桓仁满族自治县G506</w:t>
            </w:r>
          </w:p>
        </w:tc>
        <w:tc>
          <w:tcPr>
            <w:tcW w:w="546"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w:t>
            </w:r>
          </w:p>
        </w:tc>
        <w:tc>
          <w:tcPr>
            <w:tcW w:w="897" w:type="dxa"/>
            <w:shd w:val="clear" w:color="auto" w:fill="auto"/>
            <w:noWrap/>
            <w:vAlign w:val="center"/>
          </w:tcPr>
          <w:p>
            <w:pPr>
              <w:spacing w:line="240" w:lineRule="auto"/>
              <w:jc w:val="center"/>
              <w:rPr>
                <w:rFonts w:hint="eastAsia"/>
                <w:sz w:val="19"/>
              </w:rPr>
            </w:pPr>
            <w:r>
              <w:rPr>
                <w:rFonts w:hint="eastAsia"/>
                <w:sz w:val="19"/>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26" w:type="dxa"/>
            <w:shd w:val="clear" w:color="auto" w:fill="auto"/>
            <w:noWrap/>
            <w:vAlign w:val="center"/>
          </w:tcPr>
          <w:p>
            <w:pPr>
              <w:spacing w:line="240" w:lineRule="auto"/>
              <w:jc w:val="center"/>
              <w:rPr>
                <w:rFonts w:hint="eastAsia"/>
                <w:sz w:val="19"/>
              </w:rPr>
            </w:pPr>
            <w:r>
              <w:rPr>
                <w:rFonts w:hint="eastAsia"/>
                <w:sz w:val="19"/>
              </w:rPr>
              <w:t>9</w:t>
            </w:r>
          </w:p>
        </w:tc>
        <w:tc>
          <w:tcPr>
            <w:tcW w:w="1801" w:type="dxa"/>
            <w:shd w:val="clear" w:color="auto" w:fill="auto"/>
            <w:noWrap/>
            <w:vAlign w:val="center"/>
          </w:tcPr>
          <w:p>
            <w:pPr>
              <w:spacing w:line="240" w:lineRule="auto"/>
              <w:jc w:val="center"/>
              <w:rPr>
                <w:rFonts w:hint="eastAsia"/>
                <w:sz w:val="19"/>
              </w:rPr>
            </w:pPr>
            <w:r>
              <w:rPr>
                <w:rFonts w:hint="eastAsia"/>
                <w:sz w:val="19"/>
              </w:rPr>
              <w:t>古城镇政府</w:t>
            </w:r>
          </w:p>
        </w:tc>
        <w:tc>
          <w:tcPr>
            <w:tcW w:w="3413" w:type="dxa"/>
            <w:shd w:val="clear" w:color="auto" w:fill="auto"/>
            <w:noWrap/>
            <w:vAlign w:val="center"/>
          </w:tcPr>
          <w:p>
            <w:pPr>
              <w:spacing w:line="240" w:lineRule="auto"/>
              <w:jc w:val="center"/>
              <w:rPr>
                <w:rFonts w:hint="eastAsia"/>
                <w:sz w:val="19"/>
              </w:rPr>
            </w:pPr>
            <w:r>
              <w:rPr>
                <w:rFonts w:hint="eastAsia"/>
                <w:sz w:val="19"/>
              </w:rPr>
              <w:t>桓仁满族自治县新府路14号</w:t>
            </w:r>
          </w:p>
        </w:tc>
        <w:tc>
          <w:tcPr>
            <w:tcW w:w="546"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97" w:type="dxa"/>
            <w:shd w:val="clear" w:color="auto" w:fill="auto"/>
            <w:noWrap/>
            <w:vAlign w:val="center"/>
          </w:tcPr>
          <w:p>
            <w:pPr>
              <w:spacing w:line="240" w:lineRule="auto"/>
              <w:jc w:val="center"/>
              <w:rPr>
                <w:rFonts w:hint="eastAsia"/>
                <w:sz w:val="19"/>
              </w:rPr>
            </w:pPr>
            <w:r>
              <w:rPr>
                <w:rFonts w:hint="eastAsia"/>
                <w:sz w:val="19"/>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26" w:type="dxa"/>
            <w:shd w:val="clear" w:color="auto" w:fill="auto"/>
            <w:noWrap/>
            <w:vAlign w:val="center"/>
          </w:tcPr>
          <w:p>
            <w:pPr>
              <w:spacing w:line="240" w:lineRule="auto"/>
              <w:jc w:val="center"/>
              <w:rPr>
                <w:rFonts w:hint="eastAsia"/>
                <w:sz w:val="19"/>
              </w:rPr>
            </w:pPr>
            <w:r>
              <w:rPr>
                <w:rFonts w:hint="eastAsia"/>
                <w:sz w:val="19"/>
              </w:rPr>
              <w:t>10</w:t>
            </w:r>
          </w:p>
        </w:tc>
        <w:tc>
          <w:tcPr>
            <w:tcW w:w="1801" w:type="dxa"/>
            <w:shd w:val="clear" w:color="auto" w:fill="auto"/>
            <w:noWrap/>
            <w:vAlign w:val="center"/>
          </w:tcPr>
          <w:p>
            <w:pPr>
              <w:spacing w:line="240" w:lineRule="auto"/>
              <w:jc w:val="center"/>
              <w:rPr>
                <w:rFonts w:hint="eastAsia"/>
                <w:sz w:val="19"/>
              </w:rPr>
            </w:pPr>
            <w:r>
              <w:rPr>
                <w:rFonts w:hint="eastAsia"/>
                <w:sz w:val="19"/>
              </w:rPr>
              <w:t>八里甸子镇政府</w:t>
            </w:r>
          </w:p>
        </w:tc>
        <w:tc>
          <w:tcPr>
            <w:tcW w:w="3413" w:type="dxa"/>
            <w:shd w:val="clear" w:color="auto" w:fill="auto"/>
            <w:noWrap/>
            <w:vAlign w:val="center"/>
          </w:tcPr>
          <w:p>
            <w:pPr>
              <w:spacing w:line="240" w:lineRule="auto"/>
              <w:jc w:val="center"/>
              <w:rPr>
                <w:rFonts w:hint="eastAsia"/>
                <w:sz w:val="19"/>
              </w:rPr>
            </w:pPr>
            <w:r>
              <w:rPr>
                <w:rFonts w:hint="eastAsia"/>
                <w:sz w:val="19"/>
              </w:rPr>
              <w:t>桓仁满族自治县八里甸子镇八里甸村</w:t>
            </w:r>
          </w:p>
        </w:tc>
        <w:tc>
          <w:tcPr>
            <w:tcW w:w="546"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97" w:type="dxa"/>
            <w:shd w:val="clear" w:color="auto" w:fill="auto"/>
            <w:noWrap/>
            <w:vAlign w:val="center"/>
          </w:tcPr>
          <w:p>
            <w:pPr>
              <w:spacing w:line="240" w:lineRule="auto"/>
              <w:jc w:val="center"/>
              <w:rPr>
                <w:rFonts w:hint="eastAsia"/>
                <w:sz w:val="19"/>
              </w:rPr>
            </w:pPr>
            <w:r>
              <w:rPr>
                <w:rFonts w:hint="eastAsia"/>
                <w:sz w:val="19"/>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26" w:type="dxa"/>
            <w:shd w:val="clear" w:color="auto" w:fill="auto"/>
            <w:noWrap/>
            <w:vAlign w:val="center"/>
          </w:tcPr>
          <w:p>
            <w:pPr>
              <w:spacing w:line="240" w:lineRule="auto"/>
              <w:jc w:val="center"/>
              <w:rPr>
                <w:rFonts w:hint="eastAsia"/>
                <w:sz w:val="19"/>
              </w:rPr>
            </w:pPr>
            <w:r>
              <w:rPr>
                <w:rFonts w:hint="eastAsia"/>
                <w:sz w:val="19"/>
              </w:rPr>
              <w:t>11</w:t>
            </w:r>
          </w:p>
        </w:tc>
        <w:tc>
          <w:tcPr>
            <w:tcW w:w="1801" w:type="dxa"/>
            <w:shd w:val="clear" w:color="auto" w:fill="auto"/>
            <w:noWrap/>
            <w:vAlign w:val="center"/>
          </w:tcPr>
          <w:p>
            <w:pPr>
              <w:spacing w:line="240" w:lineRule="auto"/>
              <w:jc w:val="center"/>
              <w:rPr>
                <w:rFonts w:hint="eastAsia"/>
                <w:sz w:val="19"/>
              </w:rPr>
            </w:pPr>
            <w:r>
              <w:rPr>
                <w:rFonts w:hint="eastAsia"/>
                <w:sz w:val="19"/>
              </w:rPr>
              <w:t>二棚甸子镇政府</w:t>
            </w:r>
          </w:p>
        </w:tc>
        <w:tc>
          <w:tcPr>
            <w:tcW w:w="3413" w:type="dxa"/>
            <w:shd w:val="clear" w:color="auto" w:fill="auto"/>
            <w:noWrap/>
            <w:vAlign w:val="center"/>
          </w:tcPr>
          <w:p>
            <w:pPr>
              <w:spacing w:line="240" w:lineRule="auto"/>
              <w:jc w:val="center"/>
              <w:rPr>
                <w:rFonts w:hint="eastAsia"/>
                <w:sz w:val="19"/>
              </w:rPr>
            </w:pPr>
            <w:r>
              <w:rPr>
                <w:rFonts w:hint="eastAsia"/>
                <w:sz w:val="19"/>
              </w:rPr>
              <w:t>桓仁满族自治县东风路41号</w:t>
            </w:r>
          </w:p>
        </w:tc>
        <w:tc>
          <w:tcPr>
            <w:tcW w:w="546"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97" w:type="dxa"/>
            <w:shd w:val="clear" w:color="auto" w:fill="auto"/>
            <w:noWrap/>
            <w:vAlign w:val="center"/>
          </w:tcPr>
          <w:p>
            <w:pPr>
              <w:spacing w:line="240" w:lineRule="auto"/>
              <w:jc w:val="center"/>
              <w:rPr>
                <w:rFonts w:hint="eastAsia"/>
                <w:sz w:val="19"/>
              </w:rPr>
            </w:pPr>
            <w:r>
              <w:rPr>
                <w:rFonts w:hint="eastAsia"/>
                <w:sz w:val="19"/>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26" w:type="dxa"/>
            <w:shd w:val="clear" w:color="auto" w:fill="auto"/>
            <w:noWrap/>
            <w:vAlign w:val="center"/>
          </w:tcPr>
          <w:p>
            <w:pPr>
              <w:spacing w:line="240" w:lineRule="auto"/>
              <w:jc w:val="center"/>
              <w:rPr>
                <w:rFonts w:hint="eastAsia"/>
                <w:sz w:val="19"/>
              </w:rPr>
            </w:pPr>
            <w:r>
              <w:rPr>
                <w:rFonts w:hint="eastAsia"/>
                <w:sz w:val="19"/>
              </w:rPr>
              <w:t>12</w:t>
            </w:r>
          </w:p>
        </w:tc>
        <w:tc>
          <w:tcPr>
            <w:tcW w:w="1801" w:type="dxa"/>
            <w:shd w:val="clear" w:color="auto" w:fill="auto"/>
            <w:noWrap/>
            <w:vAlign w:val="center"/>
          </w:tcPr>
          <w:p>
            <w:pPr>
              <w:spacing w:line="240" w:lineRule="auto"/>
              <w:jc w:val="center"/>
              <w:rPr>
                <w:rFonts w:hint="eastAsia"/>
                <w:sz w:val="19"/>
              </w:rPr>
            </w:pPr>
            <w:r>
              <w:rPr>
                <w:rFonts w:hint="eastAsia"/>
                <w:sz w:val="19"/>
              </w:rPr>
              <w:t>沙尖子镇政府</w:t>
            </w:r>
          </w:p>
        </w:tc>
        <w:tc>
          <w:tcPr>
            <w:tcW w:w="3413" w:type="dxa"/>
            <w:shd w:val="clear" w:color="auto" w:fill="auto"/>
            <w:noWrap/>
            <w:vAlign w:val="center"/>
          </w:tcPr>
          <w:p>
            <w:pPr>
              <w:spacing w:line="240" w:lineRule="auto"/>
              <w:jc w:val="center"/>
              <w:rPr>
                <w:rFonts w:hint="eastAsia"/>
                <w:sz w:val="19"/>
              </w:rPr>
            </w:pPr>
            <w:r>
              <w:rPr>
                <w:rFonts w:hint="eastAsia"/>
                <w:sz w:val="19"/>
              </w:rPr>
              <w:t>桓仁满族自治县木通线</w:t>
            </w:r>
          </w:p>
        </w:tc>
        <w:tc>
          <w:tcPr>
            <w:tcW w:w="546"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97" w:type="dxa"/>
            <w:shd w:val="clear" w:color="auto" w:fill="auto"/>
            <w:noWrap/>
            <w:vAlign w:val="center"/>
          </w:tcPr>
          <w:p>
            <w:pPr>
              <w:spacing w:line="240" w:lineRule="auto"/>
              <w:jc w:val="center"/>
              <w:rPr>
                <w:rFonts w:hint="eastAsia"/>
                <w:sz w:val="19"/>
              </w:rPr>
            </w:pPr>
            <w:r>
              <w:rPr>
                <w:rFonts w:hint="eastAsia"/>
                <w:sz w:val="19"/>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26" w:type="dxa"/>
            <w:shd w:val="clear" w:color="auto" w:fill="auto"/>
            <w:noWrap/>
            <w:vAlign w:val="center"/>
          </w:tcPr>
          <w:p>
            <w:pPr>
              <w:spacing w:line="240" w:lineRule="auto"/>
              <w:jc w:val="center"/>
              <w:rPr>
                <w:rFonts w:hint="eastAsia"/>
                <w:sz w:val="19"/>
              </w:rPr>
            </w:pPr>
            <w:r>
              <w:rPr>
                <w:rFonts w:hint="eastAsia"/>
                <w:sz w:val="19"/>
              </w:rPr>
              <w:t>13</w:t>
            </w:r>
          </w:p>
        </w:tc>
        <w:tc>
          <w:tcPr>
            <w:tcW w:w="1801" w:type="dxa"/>
            <w:shd w:val="clear" w:color="auto" w:fill="auto"/>
            <w:noWrap/>
            <w:vAlign w:val="center"/>
          </w:tcPr>
          <w:p>
            <w:pPr>
              <w:spacing w:line="240" w:lineRule="auto"/>
              <w:jc w:val="center"/>
              <w:rPr>
                <w:rFonts w:hint="eastAsia"/>
                <w:sz w:val="19"/>
              </w:rPr>
            </w:pPr>
            <w:r>
              <w:rPr>
                <w:rFonts w:hint="eastAsia"/>
                <w:sz w:val="19"/>
              </w:rPr>
              <w:t>五里甸子镇政府</w:t>
            </w:r>
          </w:p>
        </w:tc>
        <w:tc>
          <w:tcPr>
            <w:tcW w:w="3413" w:type="dxa"/>
            <w:shd w:val="clear" w:color="auto" w:fill="auto"/>
            <w:noWrap/>
            <w:vAlign w:val="center"/>
          </w:tcPr>
          <w:p>
            <w:pPr>
              <w:spacing w:line="240" w:lineRule="auto"/>
              <w:jc w:val="center"/>
              <w:rPr>
                <w:rFonts w:hint="eastAsia"/>
                <w:sz w:val="19"/>
              </w:rPr>
            </w:pPr>
            <w:r>
              <w:rPr>
                <w:rFonts w:hint="eastAsia"/>
                <w:sz w:val="19"/>
              </w:rPr>
              <w:t>桓仁满族自治县中心街五里甸子镇附近</w:t>
            </w:r>
          </w:p>
        </w:tc>
        <w:tc>
          <w:tcPr>
            <w:tcW w:w="546"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97" w:type="dxa"/>
            <w:shd w:val="clear" w:color="auto" w:fill="auto"/>
            <w:noWrap/>
            <w:vAlign w:val="center"/>
          </w:tcPr>
          <w:p>
            <w:pPr>
              <w:spacing w:line="240" w:lineRule="auto"/>
              <w:jc w:val="center"/>
              <w:rPr>
                <w:rFonts w:hint="eastAsia"/>
                <w:sz w:val="19"/>
              </w:rPr>
            </w:pPr>
            <w:r>
              <w:rPr>
                <w:rFonts w:hint="eastAsia"/>
                <w:sz w:val="19"/>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26" w:type="dxa"/>
            <w:shd w:val="clear" w:color="auto" w:fill="auto"/>
            <w:noWrap/>
            <w:vAlign w:val="center"/>
          </w:tcPr>
          <w:p>
            <w:pPr>
              <w:spacing w:line="240" w:lineRule="auto"/>
              <w:jc w:val="center"/>
              <w:rPr>
                <w:rFonts w:hint="eastAsia"/>
                <w:sz w:val="19"/>
              </w:rPr>
            </w:pPr>
            <w:r>
              <w:rPr>
                <w:rFonts w:hint="eastAsia"/>
                <w:sz w:val="19"/>
              </w:rPr>
              <w:t>14</w:t>
            </w:r>
          </w:p>
        </w:tc>
        <w:tc>
          <w:tcPr>
            <w:tcW w:w="1801" w:type="dxa"/>
            <w:shd w:val="clear" w:color="auto" w:fill="auto"/>
            <w:noWrap/>
            <w:vAlign w:val="center"/>
          </w:tcPr>
          <w:p>
            <w:pPr>
              <w:spacing w:line="240" w:lineRule="auto"/>
              <w:jc w:val="center"/>
              <w:rPr>
                <w:rFonts w:hint="eastAsia"/>
                <w:sz w:val="19"/>
              </w:rPr>
            </w:pPr>
            <w:r>
              <w:rPr>
                <w:rFonts w:hint="eastAsia"/>
                <w:sz w:val="19"/>
              </w:rPr>
              <w:t>雅河乡政府</w:t>
            </w:r>
          </w:p>
        </w:tc>
        <w:tc>
          <w:tcPr>
            <w:tcW w:w="3413" w:type="dxa"/>
            <w:shd w:val="clear" w:color="auto" w:fill="auto"/>
            <w:noWrap/>
            <w:vAlign w:val="center"/>
          </w:tcPr>
          <w:p>
            <w:pPr>
              <w:spacing w:line="240" w:lineRule="auto"/>
              <w:jc w:val="center"/>
              <w:rPr>
                <w:rFonts w:hint="eastAsia"/>
                <w:sz w:val="19"/>
              </w:rPr>
            </w:pPr>
            <w:r>
              <w:rPr>
                <w:rFonts w:hint="eastAsia"/>
                <w:sz w:val="19"/>
              </w:rPr>
              <w:t>桓仁满族自治县201国道雅河朝鲜族乡附近</w:t>
            </w:r>
          </w:p>
        </w:tc>
        <w:tc>
          <w:tcPr>
            <w:tcW w:w="546"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97" w:type="dxa"/>
            <w:shd w:val="clear" w:color="auto" w:fill="auto"/>
            <w:noWrap/>
            <w:vAlign w:val="center"/>
          </w:tcPr>
          <w:p>
            <w:pPr>
              <w:spacing w:line="240" w:lineRule="auto"/>
              <w:jc w:val="center"/>
              <w:rPr>
                <w:rFonts w:hint="eastAsia"/>
                <w:sz w:val="19"/>
              </w:rPr>
            </w:pPr>
            <w:r>
              <w:rPr>
                <w:rFonts w:hint="eastAsia"/>
                <w:sz w:val="19"/>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26" w:type="dxa"/>
            <w:shd w:val="clear" w:color="auto" w:fill="auto"/>
            <w:noWrap/>
            <w:vAlign w:val="center"/>
          </w:tcPr>
          <w:p>
            <w:pPr>
              <w:spacing w:line="240" w:lineRule="auto"/>
              <w:jc w:val="center"/>
              <w:rPr>
                <w:rFonts w:hint="eastAsia"/>
                <w:sz w:val="19"/>
              </w:rPr>
            </w:pPr>
            <w:r>
              <w:rPr>
                <w:rFonts w:hint="eastAsia"/>
                <w:sz w:val="19"/>
              </w:rPr>
              <w:t>15</w:t>
            </w:r>
          </w:p>
        </w:tc>
        <w:tc>
          <w:tcPr>
            <w:tcW w:w="1801" w:type="dxa"/>
            <w:shd w:val="clear" w:color="auto" w:fill="auto"/>
            <w:noWrap/>
            <w:vAlign w:val="center"/>
          </w:tcPr>
          <w:p>
            <w:pPr>
              <w:spacing w:line="240" w:lineRule="auto"/>
              <w:jc w:val="center"/>
              <w:rPr>
                <w:rFonts w:hint="eastAsia"/>
                <w:sz w:val="19"/>
              </w:rPr>
            </w:pPr>
            <w:r>
              <w:rPr>
                <w:rFonts w:hint="eastAsia"/>
                <w:sz w:val="19"/>
              </w:rPr>
              <w:t>桓仁中医院</w:t>
            </w:r>
          </w:p>
        </w:tc>
        <w:tc>
          <w:tcPr>
            <w:tcW w:w="3413" w:type="dxa"/>
            <w:shd w:val="clear" w:color="auto" w:fill="auto"/>
            <w:noWrap/>
            <w:vAlign w:val="center"/>
          </w:tcPr>
          <w:p>
            <w:pPr>
              <w:spacing w:line="240" w:lineRule="auto"/>
              <w:jc w:val="center"/>
              <w:rPr>
                <w:rFonts w:hint="eastAsia"/>
                <w:sz w:val="19"/>
              </w:rPr>
            </w:pPr>
            <w:r>
              <w:rPr>
                <w:rFonts w:hint="eastAsia"/>
                <w:sz w:val="19"/>
              </w:rPr>
              <w:t>桓仁满族自治县黎明街19-1号</w:t>
            </w:r>
          </w:p>
        </w:tc>
        <w:tc>
          <w:tcPr>
            <w:tcW w:w="546"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w:t>
            </w:r>
          </w:p>
        </w:tc>
        <w:tc>
          <w:tcPr>
            <w:tcW w:w="897" w:type="dxa"/>
            <w:shd w:val="clear" w:color="auto" w:fill="auto"/>
            <w:noWrap/>
            <w:vAlign w:val="center"/>
          </w:tcPr>
          <w:p>
            <w:pPr>
              <w:spacing w:line="240" w:lineRule="auto"/>
              <w:jc w:val="center"/>
              <w:rPr>
                <w:rFonts w:hint="eastAsia"/>
                <w:sz w:val="19"/>
              </w:rPr>
            </w:pPr>
            <w:r>
              <w:rPr>
                <w:rFonts w:hint="eastAsia"/>
                <w:sz w:val="19"/>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26" w:type="dxa"/>
            <w:shd w:val="clear" w:color="auto" w:fill="auto"/>
            <w:noWrap/>
            <w:vAlign w:val="center"/>
          </w:tcPr>
          <w:p>
            <w:pPr>
              <w:spacing w:line="240" w:lineRule="auto"/>
              <w:jc w:val="center"/>
              <w:rPr>
                <w:rFonts w:hint="eastAsia"/>
                <w:sz w:val="19"/>
              </w:rPr>
            </w:pPr>
            <w:r>
              <w:rPr>
                <w:rFonts w:hint="eastAsia"/>
                <w:sz w:val="19"/>
              </w:rPr>
              <w:t>16</w:t>
            </w:r>
          </w:p>
        </w:tc>
        <w:tc>
          <w:tcPr>
            <w:tcW w:w="1801" w:type="dxa"/>
            <w:shd w:val="clear" w:color="auto" w:fill="auto"/>
            <w:noWrap/>
            <w:vAlign w:val="center"/>
          </w:tcPr>
          <w:p>
            <w:pPr>
              <w:spacing w:line="240" w:lineRule="auto"/>
              <w:jc w:val="center"/>
              <w:rPr>
                <w:rFonts w:hint="eastAsia"/>
                <w:sz w:val="19"/>
              </w:rPr>
            </w:pPr>
            <w:r>
              <w:rPr>
                <w:rFonts w:hint="eastAsia"/>
                <w:sz w:val="19"/>
              </w:rPr>
              <w:t>西江中学</w:t>
            </w:r>
          </w:p>
        </w:tc>
        <w:tc>
          <w:tcPr>
            <w:tcW w:w="3413" w:type="dxa"/>
            <w:shd w:val="clear" w:color="auto" w:fill="auto"/>
            <w:noWrap/>
            <w:vAlign w:val="center"/>
          </w:tcPr>
          <w:p>
            <w:pPr>
              <w:spacing w:line="240" w:lineRule="auto"/>
              <w:jc w:val="center"/>
              <w:rPr>
                <w:rFonts w:hint="eastAsia"/>
                <w:sz w:val="19"/>
              </w:rPr>
            </w:pPr>
            <w:r>
              <w:rPr>
                <w:rFonts w:hint="eastAsia"/>
                <w:sz w:val="19"/>
              </w:rPr>
              <w:t>桓仁满族自治县黄河大街与龙宝路交叉路口往南约150米</w:t>
            </w:r>
          </w:p>
        </w:tc>
        <w:tc>
          <w:tcPr>
            <w:tcW w:w="546"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w:t>
            </w:r>
          </w:p>
        </w:tc>
        <w:tc>
          <w:tcPr>
            <w:tcW w:w="897" w:type="dxa"/>
            <w:shd w:val="clear" w:color="auto" w:fill="auto"/>
            <w:noWrap/>
            <w:vAlign w:val="center"/>
          </w:tcPr>
          <w:p>
            <w:pPr>
              <w:spacing w:line="240" w:lineRule="auto"/>
              <w:jc w:val="center"/>
              <w:rPr>
                <w:rFonts w:hint="eastAsia"/>
                <w:sz w:val="19"/>
              </w:rPr>
            </w:pPr>
            <w:r>
              <w:rPr>
                <w:rFonts w:hint="eastAsia"/>
                <w:sz w:val="19"/>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26" w:type="dxa"/>
            <w:shd w:val="clear" w:color="auto" w:fill="auto"/>
            <w:noWrap/>
            <w:vAlign w:val="center"/>
          </w:tcPr>
          <w:p>
            <w:pPr>
              <w:spacing w:line="240" w:lineRule="auto"/>
              <w:jc w:val="center"/>
              <w:rPr>
                <w:rFonts w:hint="eastAsia"/>
                <w:sz w:val="19"/>
              </w:rPr>
            </w:pPr>
            <w:r>
              <w:rPr>
                <w:rFonts w:hint="eastAsia"/>
                <w:sz w:val="19"/>
              </w:rPr>
              <w:t>17</w:t>
            </w:r>
          </w:p>
        </w:tc>
        <w:tc>
          <w:tcPr>
            <w:tcW w:w="1801" w:type="dxa"/>
            <w:shd w:val="clear" w:color="auto" w:fill="auto"/>
            <w:noWrap/>
            <w:vAlign w:val="center"/>
          </w:tcPr>
          <w:p>
            <w:pPr>
              <w:spacing w:line="240" w:lineRule="auto"/>
              <w:jc w:val="center"/>
              <w:rPr>
                <w:rFonts w:hint="eastAsia"/>
                <w:sz w:val="19"/>
              </w:rPr>
            </w:pPr>
            <w:r>
              <w:rPr>
                <w:rFonts w:hint="eastAsia"/>
                <w:sz w:val="19"/>
              </w:rPr>
              <w:t>东山中学</w:t>
            </w:r>
          </w:p>
        </w:tc>
        <w:tc>
          <w:tcPr>
            <w:tcW w:w="3413" w:type="dxa"/>
            <w:shd w:val="clear" w:color="auto" w:fill="auto"/>
            <w:noWrap/>
            <w:vAlign w:val="center"/>
          </w:tcPr>
          <w:p>
            <w:pPr>
              <w:spacing w:line="240" w:lineRule="auto"/>
              <w:jc w:val="center"/>
              <w:rPr>
                <w:rFonts w:hint="eastAsia"/>
                <w:sz w:val="19"/>
              </w:rPr>
            </w:pPr>
            <w:r>
              <w:rPr>
                <w:rFonts w:hint="eastAsia"/>
                <w:sz w:val="19"/>
              </w:rPr>
              <w:t>桓仁满族自治县浑江大街115号</w:t>
            </w:r>
          </w:p>
        </w:tc>
        <w:tc>
          <w:tcPr>
            <w:tcW w:w="546"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w:t>
            </w:r>
          </w:p>
        </w:tc>
        <w:tc>
          <w:tcPr>
            <w:tcW w:w="897" w:type="dxa"/>
            <w:shd w:val="clear" w:color="auto" w:fill="auto"/>
            <w:noWrap/>
            <w:vAlign w:val="center"/>
          </w:tcPr>
          <w:p>
            <w:pPr>
              <w:spacing w:line="240" w:lineRule="auto"/>
              <w:jc w:val="center"/>
              <w:rPr>
                <w:rFonts w:hint="eastAsia"/>
                <w:sz w:val="19"/>
              </w:rPr>
            </w:pPr>
            <w:r>
              <w:rPr>
                <w:rFonts w:hint="eastAsia"/>
                <w:sz w:val="19"/>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26" w:type="dxa"/>
            <w:shd w:val="clear" w:color="auto" w:fill="auto"/>
            <w:noWrap/>
            <w:vAlign w:val="center"/>
          </w:tcPr>
          <w:p>
            <w:pPr>
              <w:spacing w:line="240" w:lineRule="auto"/>
              <w:jc w:val="center"/>
              <w:rPr>
                <w:rFonts w:hint="eastAsia"/>
                <w:sz w:val="19"/>
              </w:rPr>
            </w:pPr>
            <w:r>
              <w:rPr>
                <w:rFonts w:hint="eastAsia"/>
                <w:sz w:val="19"/>
              </w:rPr>
              <w:t>18</w:t>
            </w:r>
          </w:p>
        </w:tc>
        <w:tc>
          <w:tcPr>
            <w:tcW w:w="1801" w:type="dxa"/>
            <w:shd w:val="clear" w:color="auto" w:fill="auto"/>
            <w:noWrap/>
            <w:vAlign w:val="center"/>
          </w:tcPr>
          <w:p>
            <w:pPr>
              <w:spacing w:line="240" w:lineRule="auto"/>
              <w:jc w:val="center"/>
              <w:rPr>
                <w:rFonts w:hint="eastAsia"/>
                <w:sz w:val="19"/>
              </w:rPr>
            </w:pPr>
            <w:r>
              <w:rPr>
                <w:rFonts w:hint="eastAsia"/>
                <w:sz w:val="19"/>
              </w:rPr>
              <w:t>桓仁满族自治县第一高级中学</w:t>
            </w:r>
          </w:p>
        </w:tc>
        <w:tc>
          <w:tcPr>
            <w:tcW w:w="3413" w:type="dxa"/>
            <w:shd w:val="clear" w:color="auto" w:fill="auto"/>
            <w:noWrap/>
            <w:vAlign w:val="center"/>
          </w:tcPr>
          <w:p>
            <w:pPr>
              <w:spacing w:line="240" w:lineRule="auto"/>
              <w:jc w:val="center"/>
              <w:rPr>
                <w:rFonts w:hint="eastAsia"/>
                <w:sz w:val="19"/>
              </w:rPr>
            </w:pPr>
            <w:r>
              <w:rPr>
                <w:rFonts w:hint="eastAsia"/>
                <w:sz w:val="19"/>
              </w:rPr>
              <w:t>桓仁满族自治县清华路12号</w:t>
            </w:r>
          </w:p>
        </w:tc>
        <w:tc>
          <w:tcPr>
            <w:tcW w:w="546"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w:t>
            </w:r>
          </w:p>
        </w:tc>
        <w:tc>
          <w:tcPr>
            <w:tcW w:w="897" w:type="dxa"/>
            <w:shd w:val="clear" w:color="auto" w:fill="auto"/>
            <w:noWrap/>
            <w:vAlign w:val="center"/>
          </w:tcPr>
          <w:p>
            <w:pPr>
              <w:spacing w:line="240" w:lineRule="auto"/>
              <w:jc w:val="center"/>
              <w:rPr>
                <w:rFonts w:hint="eastAsia"/>
                <w:sz w:val="19"/>
              </w:rPr>
            </w:pPr>
            <w:r>
              <w:rPr>
                <w:rFonts w:hint="eastAsia"/>
                <w:sz w:val="19"/>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26" w:type="dxa"/>
            <w:shd w:val="clear" w:color="auto" w:fill="auto"/>
            <w:noWrap/>
            <w:vAlign w:val="center"/>
          </w:tcPr>
          <w:p>
            <w:pPr>
              <w:spacing w:line="240" w:lineRule="auto"/>
              <w:jc w:val="center"/>
              <w:rPr>
                <w:rFonts w:hint="eastAsia"/>
                <w:sz w:val="19"/>
              </w:rPr>
            </w:pPr>
            <w:r>
              <w:rPr>
                <w:rFonts w:hint="eastAsia"/>
                <w:sz w:val="19"/>
              </w:rPr>
              <w:t>19</w:t>
            </w:r>
          </w:p>
        </w:tc>
        <w:tc>
          <w:tcPr>
            <w:tcW w:w="1801" w:type="dxa"/>
            <w:shd w:val="clear" w:color="auto" w:fill="auto"/>
            <w:noWrap/>
            <w:vAlign w:val="center"/>
          </w:tcPr>
          <w:p>
            <w:pPr>
              <w:spacing w:line="240" w:lineRule="auto"/>
              <w:jc w:val="center"/>
              <w:rPr>
                <w:rFonts w:hint="eastAsia"/>
                <w:sz w:val="19"/>
              </w:rPr>
            </w:pPr>
            <w:r>
              <w:rPr>
                <w:rFonts w:hint="eastAsia"/>
                <w:sz w:val="19"/>
              </w:rPr>
              <w:t>桓仁镇政府</w:t>
            </w:r>
          </w:p>
        </w:tc>
        <w:tc>
          <w:tcPr>
            <w:tcW w:w="3413" w:type="dxa"/>
            <w:shd w:val="clear" w:color="auto" w:fill="auto"/>
            <w:noWrap/>
            <w:vAlign w:val="center"/>
          </w:tcPr>
          <w:p>
            <w:pPr>
              <w:spacing w:line="240" w:lineRule="auto"/>
              <w:jc w:val="center"/>
              <w:rPr>
                <w:rFonts w:hint="eastAsia"/>
                <w:sz w:val="19"/>
              </w:rPr>
            </w:pPr>
            <w:r>
              <w:rPr>
                <w:rFonts w:hint="eastAsia"/>
                <w:sz w:val="19"/>
              </w:rPr>
              <w:t>桓仁满族自治县民族路</w:t>
            </w:r>
          </w:p>
        </w:tc>
        <w:tc>
          <w:tcPr>
            <w:tcW w:w="546"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w:t>
            </w:r>
          </w:p>
        </w:tc>
        <w:tc>
          <w:tcPr>
            <w:tcW w:w="897" w:type="dxa"/>
            <w:shd w:val="clear" w:color="auto" w:fill="auto"/>
            <w:noWrap/>
            <w:vAlign w:val="center"/>
          </w:tcPr>
          <w:p>
            <w:pPr>
              <w:spacing w:line="240" w:lineRule="auto"/>
              <w:jc w:val="center"/>
              <w:rPr>
                <w:rFonts w:hint="eastAsia"/>
                <w:sz w:val="19"/>
              </w:rPr>
            </w:pPr>
            <w:r>
              <w:rPr>
                <w:rFonts w:hint="eastAsia"/>
                <w:sz w:val="19"/>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26" w:type="dxa"/>
            <w:shd w:val="clear" w:color="auto" w:fill="auto"/>
            <w:noWrap/>
            <w:vAlign w:val="center"/>
          </w:tcPr>
          <w:p>
            <w:pPr>
              <w:spacing w:line="240" w:lineRule="auto"/>
              <w:jc w:val="center"/>
              <w:rPr>
                <w:rFonts w:hint="eastAsia"/>
                <w:sz w:val="19"/>
              </w:rPr>
            </w:pPr>
            <w:bookmarkStart w:id="77" w:name="_Toc155878808"/>
            <w:r>
              <w:rPr>
                <w:rFonts w:hint="eastAsia"/>
                <w:sz w:val="19"/>
              </w:rPr>
              <w:t>20</w:t>
            </w:r>
          </w:p>
        </w:tc>
        <w:tc>
          <w:tcPr>
            <w:tcW w:w="1801" w:type="dxa"/>
            <w:shd w:val="clear" w:color="auto" w:fill="auto"/>
            <w:noWrap/>
            <w:vAlign w:val="center"/>
          </w:tcPr>
          <w:p>
            <w:pPr>
              <w:spacing w:line="240" w:lineRule="auto"/>
              <w:jc w:val="center"/>
              <w:rPr>
                <w:rFonts w:hint="eastAsia"/>
                <w:sz w:val="19"/>
              </w:rPr>
            </w:pPr>
            <w:r>
              <w:rPr>
                <w:rFonts w:hint="eastAsia"/>
                <w:sz w:val="19"/>
              </w:rPr>
              <w:t>章樾广场</w:t>
            </w:r>
          </w:p>
        </w:tc>
        <w:tc>
          <w:tcPr>
            <w:tcW w:w="3413" w:type="dxa"/>
            <w:shd w:val="clear" w:color="auto" w:fill="auto"/>
            <w:noWrap/>
            <w:vAlign w:val="center"/>
          </w:tcPr>
          <w:p>
            <w:pPr>
              <w:spacing w:line="240" w:lineRule="auto"/>
              <w:jc w:val="center"/>
              <w:rPr>
                <w:rFonts w:hint="eastAsia"/>
                <w:sz w:val="19"/>
              </w:rPr>
            </w:pPr>
            <w:r>
              <w:rPr>
                <w:rFonts w:hint="eastAsia"/>
                <w:sz w:val="19"/>
              </w:rPr>
              <w:t>桓仁满族自治县府安路与长江大街交叉口西140米</w:t>
            </w:r>
          </w:p>
        </w:tc>
        <w:tc>
          <w:tcPr>
            <w:tcW w:w="546"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97" w:type="dxa"/>
            <w:shd w:val="clear" w:color="auto" w:fill="auto"/>
            <w:noWrap/>
            <w:vAlign w:val="center"/>
          </w:tcPr>
          <w:p>
            <w:pPr>
              <w:spacing w:line="240" w:lineRule="auto"/>
              <w:jc w:val="center"/>
              <w:rPr>
                <w:rFonts w:hint="eastAsia"/>
                <w:sz w:val="19"/>
              </w:rPr>
            </w:pPr>
            <w:r>
              <w:rPr>
                <w:rFonts w:hint="eastAsia"/>
                <w:sz w:val="19"/>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26" w:type="dxa"/>
            <w:shd w:val="clear" w:color="auto" w:fill="auto"/>
            <w:noWrap/>
            <w:vAlign w:val="center"/>
          </w:tcPr>
          <w:p>
            <w:pPr>
              <w:spacing w:line="240" w:lineRule="auto"/>
              <w:jc w:val="center"/>
              <w:rPr>
                <w:rFonts w:hint="eastAsia"/>
                <w:sz w:val="19"/>
              </w:rPr>
            </w:pPr>
            <w:r>
              <w:rPr>
                <w:rFonts w:hint="eastAsia"/>
                <w:sz w:val="19"/>
              </w:rPr>
              <w:t>21</w:t>
            </w:r>
          </w:p>
        </w:tc>
        <w:tc>
          <w:tcPr>
            <w:tcW w:w="1801" w:type="dxa"/>
            <w:shd w:val="clear" w:color="auto" w:fill="auto"/>
            <w:noWrap/>
            <w:vAlign w:val="center"/>
          </w:tcPr>
          <w:p>
            <w:pPr>
              <w:spacing w:line="240" w:lineRule="auto"/>
              <w:jc w:val="center"/>
              <w:rPr>
                <w:rFonts w:hint="eastAsia"/>
                <w:sz w:val="19"/>
              </w:rPr>
            </w:pPr>
            <w:r>
              <w:rPr>
                <w:rFonts w:hint="eastAsia"/>
                <w:sz w:val="19"/>
              </w:rPr>
              <w:t>五女山宾馆（教育园内）</w:t>
            </w:r>
          </w:p>
        </w:tc>
        <w:tc>
          <w:tcPr>
            <w:tcW w:w="3413" w:type="dxa"/>
            <w:shd w:val="clear" w:color="auto" w:fill="auto"/>
            <w:noWrap/>
            <w:vAlign w:val="center"/>
          </w:tcPr>
          <w:p>
            <w:pPr>
              <w:spacing w:line="240" w:lineRule="auto"/>
              <w:jc w:val="center"/>
              <w:rPr>
                <w:rFonts w:hint="eastAsia"/>
                <w:sz w:val="19"/>
              </w:rPr>
            </w:pPr>
            <w:r>
              <w:rPr>
                <w:rFonts w:hint="eastAsia"/>
                <w:sz w:val="19"/>
              </w:rPr>
              <w:t>桓仁满族自治县黄河大街1号</w:t>
            </w:r>
          </w:p>
        </w:tc>
        <w:tc>
          <w:tcPr>
            <w:tcW w:w="546"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97" w:type="dxa"/>
            <w:shd w:val="clear" w:color="auto" w:fill="auto"/>
            <w:noWrap/>
            <w:vAlign w:val="center"/>
          </w:tcPr>
          <w:p>
            <w:pPr>
              <w:spacing w:line="240" w:lineRule="auto"/>
              <w:jc w:val="center"/>
              <w:rPr>
                <w:rFonts w:hint="eastAsia"/>
                <w:sz w:val="19"/>
              </w:rPr>
            </w:pPr>
            <w:r>
              <w:rPr>
                <w:rFonts w:hint="eastAsia"/>
                <w:sz w:val="19"/>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26" w:type="dxa"/>
            <w:shd w:val="clear" w:color="auto" w:fill="auto"/>
            <w:noWrap/>
            <w:vAlign w:val="center"/>
          </w:tcPr>
          <w:p>
            <w:pPr>
              <w:spacing w:line="240" w:lineRule="auto"/>
              <w:jc w:val="center"/>
              <w:rPr>
                <w:rFonts w:hint="eastAsia"/>
                <w:sz w:val="19"/>
              </w:rPr>
            </w:pPr>
            <w:r>
              <w:rPr>
                <w:rFonts w:hint="eastAsia"/>
                <w:sz w:val="19"/>
              </w:rPr>
              <w:t>22</w:t>
            </w:r>
          </w:p>
        </w:tc>
        <w:tc>
          <w:tcPr>
            <w:tcW w:w="1801" w:type="dxa"/>
            <w:shd w:val="clear" w:color="auto" w:fill="auto"/>
            <w:noWrap/>
            <w:vAlign w:val="center"/>
          </w:tcPr>
          <w:p>
            <w:pPr>
              <w:spacing w:line="240" w:lineRule="auto"/>
              <w:jc w:val="center"/>
              <w:rPr>
                <w:rFonts w:hint="eastAsia"/>
                <w:sz w:val="19"/>
              </w:rPr>
            </w:pPr>
            <w:r>
              <w:rPr>
                <w:rFonts w:hint="eastAsia"/>
                <w:sz w:val="19"/>
              </w:rPr>
              <w:t>桓仁县县委</w:t>
            </w:r>
          </w:p>
        </w:tc>
        <w:tc>
          <w:tcPr>
            <w:tcW w:w="3413" w:type="dxa"/>
            <w:shd w:val="clear" w:color="auto" w:fill="auto"/>
            <w:noWrap/>
            <w:vAlign w:val="center"/>
          </w:tcPr>
          <w:p>
            <w:pPr>
              <w:spacing w:line="240" w:lineRule="auto"/>
              <w:jc w:val="center"/>
              <w:rPr>
                <w:rFonts w:hint="eastAsia"/>
                <w:sz w:val="19"/>
              </w:rPr>
            </w:pPr>
            <w:r>
              <w:rPr>
                <w:rFonts w:hint="eastAsia"/>
                <w:sz w:val="19"/>
              </w:rPr>
              <w:t>桓仁满族自治县桓仁镇文化路5号</w:t>
            </w:r>
          </w:p>
        </w:tc>
        <w:tc>
          <w:tcPr>
            <w:tcW w:w="546"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97" w:type="dxa"/>
            <w:shd w:val="clear" w:color="auto" w:fill="auto"/>
            <w:noWrap/>
            <w:vAlign w:val="center"/>
          </w:tcPr>
          <w:p>
            <w:pPr>
              <w:spacing w:line="240" w:lineRule="auto"/>
              <w:jc w:val="center"/>
              <w:rPr>
                <w:rFonts w:hint="eastAsia"/>
                <w:sz w:val="19"/>
              </w:rPr>
            </w:pPr>
            <w:r>
              <w:rPr>
                <w:rFonts w:hint="eastAsia"/>
                <w:sz w:val="19"/>
              </w:rPr>
              <w:t>4</w:t>
            </w:r>
          </w:p>
        </w:tc>
      </w:tr>
    </w:tbl>
    <w:p>
      <w:pPr>
        <w:ind w:firstLine="561"/>
        <w:rPr>
          <w:rFonts w:hint="eastAsia" w:cs="仿宋_GB2312"/>
          <w:szCs w:val="28"/>
        </w:rPr>
      </w:pPr>
      <w:bookmarkStart w:id="78" w:name="_Toc3228"/>
      <w:r>
        <w:rPr>
          <w:rFonts w:hint="eastAsia" w:cs="仿宋_GB2312"/>
          <w:szCs w:val="28"/>
        </w:rPr>
        <w:t>车辆数量较多的物流车辆以在自家企业专用充电站充电为主，宾规划于客运以及交通枢纽区域设置物流充电桩，以满足零散外来物流车辆充电需求，物流充电被与公用充电桩共建。</w:t>
      </w:r>
    </w:p>
    <w:p>
      <w:pPr>
        <w:pStyle w:val="7"/>
      </w:pPr>
      <w:r>
        <w:rPr>
          <w:rFonts w:hint="eastAsia"/>
        </w:rPr>
        <w:t>桓仁满族自治县物流充电设施规划项目表（共建）</w:t>
      </w: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28" w:type="dxa"/>
          <w:left w:w="28" w:type="dxa"/>
          <w:bottom w:w="28" w:type="dxa"/>
          <w:right w:w="28" w:type="dxa"/>
        </w:tblCellMar>
      </w:tblPr>
      <w:tblGrid>
        <w:gridCol w:w="222"/>
        <w:gridCol w:w="1325"/>
        <w:gridCol w:w="1652"/>
        <w:gridCol w:w="353"/>
        <w:gridCol w:w="621"/>
        <w:gridCol w:w="891"/>
        <w:gridCol w:w="2222"/>
        <w:gridCol w:w="107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133" w:type="pct"/>
            <w:vMerge w:val="restart"/>
            <w:shd w:val="clear" w:color="auto" w:fill="D9D9D9"/>
            <w:noWrap/>
            <w:vAlign w:val="center"/>
          </w:tcPr>
          <w:p>
            <w:pPr>
              <w:spacing w:line="240" w:lineRule="auto"/>
              <w:jc w:val="center"/>
              <w:rPr>
                <w:rFonts w:hint="eastAsia"/>
                <w:b/>
                <w:sz w:val="19"/>
              </w:rPr>
            </w:pPr>
            <w:r>
              <w:rPr>
                <w:rFonts w:hint="eastAsia"/>
                <w:b/>
                <w:sz w:val="19"/>
              </w:rPr>
              <w:t>序号</w:t>
            </w:r>
          </w:p>
        </w:tc>
        <w:tc>
          <w:tcPr>
            <w:tcW w:w="792" w:type="pct"/>
            <w:vMerge w:val="restart"/>
            <w:shd w:val="clear" w:color="auto" w:fill="D9D9D9"/>
            <w:noWrap/>
            <w:vAlign w:val="center"/>
          </w:tcPr>
          <w:p>
            <w:pPr>
              <w:spacing w:line="240" w:lineRule="auto"/>
              <w:jc w:val="center"/>
              <w:rPr>
                <w:rFonts w:hint="eastAsia"/>
                <w:sz w:val="19"/>
              </w:rPr>
            </w:pPr>
            <w:r>
              <w:rPr>
                <w:rFonts w:hint="eastAsia"/>
                <w:sz w:val="19"/>
              </w:rPr>
              <w:t>项目名称</w:t>
            </w:r>
          </w:p>
        </w:tc>
        <w:tc>
          <w:tcPr>
            <w:tcW w:w="988" w:type="pct"/>
            <w:vMerge w:val="restart"/>
            <w:shd w:val="clear" w:color="auto" w:fill="D9D9D9"/>
            <w:noWrap/>
            <w:vAlign w:val="center"/>
          </w:tcPr>
          <w:p>
            <w:pPr>
              <w:spacing w:line="240" w:lineRule="auto"/>
              <w:jc w:val="center"/>
              <w:rPr>
                <w:rFonts w:hint="eastAsia"/>
                <w:sz w:val="19"/>
              </w:rPr>
            </w:pPr>
            <w:r>
              <w:rPr>
                <w:rFonts w:hint="eastAsia"/>
                <w:sz w:val="19"/>
              </w:rPr>
              <w:t>位置</w:t>
            </w:r>
          </w:p>
        </w:tc>
        <w:tc>
          <w:tcPr>
            <w:tcW w:w="211" w:type="pct"/>
            <w:vMerge w:val="restart"/>
            <w:shd w:val="clear" w:color="auto" w:fill="D9D9D9"/>
            <w:noWrap/>
            <w:vAlign w:val="center"/>
          </w:tcPr>
          <w:p>
            <w:pPr>
              <w:spacing w:line="240" w:lineRule="auto"/>
              <w:jc w:val="center"/>
              <w:rPr>
                <w:rFonts w:hint="eastAsia"/>
                <w:sz w:val="19"/>
              </w:rPr>
            </w:pPr>
            <w:r>
              <w:rPr>
                <w:rFonts w:hint="eastAsia"/>
                <w:sz w:val="19"/>
              </w:rPr>
              <w:t>类型</w:t>
            </w:r>
          </w:p>
        </w:tc>
        <w:tc>
          <w:tcPr>
            <w:tcW w:w="2233" w:type="pct"/>
            <w:gridSpan w:val="3"/>
            <w:shd w:val="clear" w:color="auto" w:fill="D9D9D9"/>
            <w:noWrap/>
            <w:vAlign w:val="center"/>
          </w:tcPr>
          <w:p>
            <w:pPr>
              <w:spacing w:line="240" w:lineRule="auto"/>
              <w:jc w:val="center"/>
              <w:rPr>
                <w:rFonts w:hint="eastAsia"/>
                <w:sz w:val="19"/>
              </w:rPr>
            </w:pPr>
            <w:r>
              <w:rPr>
                <w:rFonts w:hint="eastAsia"/>
                <w:sz w:val="19"/>
              </w:rPr>
              <w:t>设置充电基础设施数量（个）</w:t>
            </w:r>
          </w:p>
        </w:tc>
        <w:tc>
          <w:tcPr>
            <w:tcW w:w="643" w:type="pct"/>
            <w:vMerge w:val="restart"/>
            <w:shd w:val="clear" w:color="auto" w:fill="D9D9D9"/>
            <w:vAlign w:val="center"/>
          </w:tcPr>
          <w:p>
            <w:pPr>
              <w:spacing w:line="240" w:lineRule="auto"/>
              <w:jc w:val="center"/>
              <w:rPr>
                <w:rFonts w:hint="eastAsia"/>
                <w:sz w:val="19"/>
              </w:rPr>
            </w:pPr>
            <w:r>
              <w:rPr>
                <w:rFonts w:hint="eastAsia"/>
                <w:sz w:val="19"/>
              </w:rPr>
              <w:t>建设年限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133" w:type="pct"/>
            <w:vMerge w:val="continue"/>
            <w:shd w:val="clear" w:color="auto" w:fill="D9D9D9"/>
            <w:vAlign w:val="center"/>
          </w:tcPr>
          <w:p>
            <w:pPr>
              <w:spacing w:line="240" w:lineRule="auto"/>
              <w:jc w:val="center"/>
              <w:rPr>
                <w:rFonts w:hint="eastAsia"/>
                <w:b/>
                <w:sz w:val="19"/>
              </w:rPr>
            </w:pPr>
          </w:p>
        </w:tc>
        <w:tc>
          <w:tcPr>
            <w:tcW w:w="792" w:type="pct"/>
            <w:vMerge w:val="continue"/>
            <w:shd w:val="clear" w:color="auto" w:fill="D9D9D9"/>
            <w:vAlign w:val="center"/>
          </w:tcPr>
          <w:p>
            <w:pPr>
              <w:spacing w:line="240" w:lineRule="auto"/>
              <w:jc w:val="center"/>
              <w:rPr>
                <w:rFonts w:hint="eastAsia"/>
                <w:sz w:val="19"/>
              </w:rPr>
            </w:pPr>
          </w:p>
        </w:tc>
        <w:tc>
          <w:tcPr>
            <w:tcW w:w="988" w:type="pct"/>
            <w:vMerge w:val="continue"/>
            <w:shd w:val="clear" w:color="auto" w:fill="D9D9D9"/>
            <w:vAlign w:val="center"/>
          </w:tcPr>
          <w:p>
            <w:pPr>
              <w:spacing w:line="240" w:lineRule="auto"/>
              <w:jc w:val="center"/>
              <w:rPr>
                <w:rFonts w:hint="eastAsia"/>
                <w:sz w:val="19"/>
              </w:rPr>
            </w:pPr>
          </w:p>
        </w:tc>
        <w:tc>
          <w:tcPr>
            <w:tcW w:w="211" w:type="pct"/>
            <w:vMerge w:val="continue"/>
            <w:shd w:val="clear" w:color="auto" w:fill="D9D9D9"/>
            <w:vAlign w:val="center"/>
          </w:tcPr>
          <w:p>
            <w:pPr>
              <w:spacing w:line="240" w:lineRule="auto"/>
              <w:jc w:val="center"/>
              <w:rPr>
                <w:rFonts w:hint="eastAsia"/>
                <w:sz w:val="19"/>
              </w:rPr>
            </w:pPr>
          </w:p>
        </w:tc>
        <w:tc>
          <w:tcPr>
            <w:tcW w:w="371" w:type="pct"/>
            <w:shd w:val="clear" w:color="auto" w:fill="D9D9D9"/>
            <w:noWrap/>
            <w:vAlign w:val="center"/>
          </w:tcPr>
          <w:p>
            <w:pPr>
              <w:spacing w:line="240" w:lineRule="auto"/>
              <w:jc w:val="center"/>
              <w:rPr>
                <w:rFonts w:hint="eastAsia"/>
                <w:sz w:val="19"/>
              </w:rPr>
            </w:pPr>
            <w:r>
              <w:rPr>
                <w:rFonts w:hint="eastAsia"/>
                <w:sz w:val="19"/>
              </w:rPr>
              <w:t>快充</w:t>
            </w:r>
          </w:p>
        </w:tc>
        <w:tc>
          <w:tcPr>
            <w:tcW w:w="533" w:type="pct"/>
            <w:shd w:val="clear" w:color="auto" w:fill="D9D9D9"/>
            <w:noWrap/>
            <w:vAlign w:val="center"/>
          </w:tcPr>
          <w:p>
            <w:pPr>
              <w:spacing w:line="240" w:lineRule="auto"/>
              <w:jc w:val="center"/>
              <w:rPr>
                <w:rFonts w:hint="eastAsia"/>
                <w:sz w:val="19"/>
              </w:rPr>
            </w:pPr>
            <w:r>
              <w:rPr>
                <w:rFonts w:hint="eastAsia"/>
                <w:sz w:val="19"/>
              </w:rPr>
              <w:t>慢充</w:t>
            </w:r>
          </w:p>
        </w:tc>
        <w:tc>
          <w:tcPr>
            <w:tcW w:w="1329" w:type="pct"/>
            <w:shd w:val="clear" w:color="auto" w:fill="D9D9D9"/>
          </w:tcPr>
          <w:p>
            <w:pPr>
              <w:spacing w:line="240" w:lineRule="auto"/>
              <w:jc w:val="center"/>
              <w:rPr>
                <w:rFonts w:hint="eastAsia"/>
                <w:sz w:val="19"/>
              </w:rPr>
            </w:pPr>
            <w:r>
              <w:rPr>
                <w:rFonts w:hint="eastAsia"/>
                <w:sz w:val="19"/>
              </w:rPr>
              <w:t>其中：物流充电桩</w:t>
            </w:r>
          </w:p>
        </w:tc>
        <w:tc>
          <w:tcPr>
            <w:tcW w:w="643" w:type="pct"/>
            <w:vMerge w:val="continue"/>
            <w:shd w:val="clear" w:color="auto" w:fill="D9D9D9"/>
          </w:tcPr>
          <w:p>
            <w:pPr>
              <w:spacing w:line="240" w:lineRule="auto"/>
              <w:jc w:val="center"/>
              <w:rPr>
                <w:rFonts w:hint="eastAsia"/>
                <w:sz w:val="19"/>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33" w:type="pct"/>
            <w:shd w:val="clear" w:color="auto" w:fill="auto"/>
            <w:noWrap/>
            <w:vAlign w:val="center"/>
          </w:tcPr>
          <w:p>
            <w:pPr>
              <w:spacing w:line="240" w:lineRule="auto"/>
              <w:jc w:val="center"/>
              <w:rPr>
                <w:rFonts w:hint="eastAsia"/>
                <w:sz w:val="19"/>
              </w:rPr>
            </w:pPr>
            <w:r>
              <w:rPr>
                <w:rFonts w:hint="eastAsia"/>
                <w:sz w:val="19"/>
              </w:rPr>
              <w:t>1</w:t>
            </w:r>
          </w:p>
        </w:tc>
        <w:tc>
          <w:tcPr>
            <w:tcW w:w="792" w:type="pct"/>
            <w:shd w:val="clear" w:color="auto" w:fill="auto"/>
            <w:noWrap/>
            <w:vAlign w:val="center"/>
          </w:tcPr>
          <w:p>
            <w:pPr>
              <w:spacing w:line="240" w:lineRule="auto"/>
              <w:jc w:val="center"/>
              <w:rPr>
                <w:rFonts w:hint="eastAsia"/>
                <w:sz w:val="19"/>
              </w:rPr>
            </w:pPr>
            <w:r>
              <w:rPr>
                <w:rFonts w:hint="eastAsia"/>
                <w:sz w:val="19"/>
              </w:rPr>
              <w:t>五女山开发区南江园区健康集团</w:t>
            </w:r>
          </w:p>
          <w:p>
            <w:pPr>
              <w:spacing w:line="240" w:lineRule="auto"/>
              <w:jc w:val="center"/>
              <w:rPr>
                <w:rFonts w:hint="eastAsia"/>
                <w:sz w:val="19"/>
              </w:rPr>
            </w:pPr>
          </w:p>
        </w:tc>
        <w:tc>
          <w:tcPr>
            <w:tcW w:w="988" w:type="pct"/>
            <w:shd w:val="clear" w:color="auto" w:fill="auto"/>
            <w:noWrap/>
            <w:vAlign w:val="center"/>
          </w:tcPr>
          <w:p>
            <w:pPr>
              <w:spacing w:line="240" w:lineRule="auto"/>
              <w:jc w:val="center"/>
              <w:rPr>
                <w:rFonts w:hint="eastAsia"/>
                <w:sz w:val="19"/>
              </w:rPr>
            </w:pPr>
            <w:r>
              <w:rPr>
                <w:rFonts w:hint="eastAsia"/>
                <w:sz w:val="19"/>
              </w:rPr>
              <w:t>五女山开发区南江园区健康集团</w:t>
            </w:r>
          </w:p>
          <w:p>
            <w:pPr>
              <w:spacing w:line="240" w:lineRule="auto"/>
              <w:jc w:val="center"/>
              <w:rPr>
                <w:rFonts w:hint="eastAsia"/>
                <w:sz w:val="19"/>
              </w:rPr>
            </w:pPr>
          </w:p>
        </w:tc>
        <w:tc>
          <w:tcPr>
            <w:tcW w:w="211" w:type="pct"/>
            <w:shd w:val="clear" w:color="auto" w:fill="auto"/>
            <w:noWrap/>
            <w:vAlign w:val="center"/>
          </w:tcPr>
          <w:p>
            <w:pPr>
              <w:spacing w:line="240" w:lineRule="auto"/>
              <w:jc w:val="center"/>
              <w:rPr>
                <w:rFonts w:hint="eastAsia"/>
                <w:sz w:val="19"/>
              </w:rPr>
            </w:pPr>
            <w:r>
              <w:rPr>
                <w:rFonts w:hint="eastAsia"/>
                <w:sz w:val="19"/>
              </w:rPr>
              <w:t>新建</w:t>
            </w:r>
          </w:p>
        </w:tc>
        <w:tc>
          <w:tcPr>
            <w:tcW w:w="371" w:type="pct"/>
            <w:shd w:val="clear" w:color="auto" w:fill="auto"/>
            <w:noWrap/>
            <w:vAlign w:val="center"/>
          </w:tcPr>
          <w:p>
            <w:pPr>
              <w:spacing w:line="240" w:lineRule="auto"/>
              <w:jc w:val="center"/>
              <w:rPr>
                <w:rFonts w:hint="eastAsia"/>
                <w:sz w:val="19"/>
              </w:rPr>
            </w:pPr>
            <w:r>
              <w:rPr>
                <w:rFonts w:hint="eastAsia"/>
                <w:sz w:val="19"/>
              </w:rPr>
              <w:t>6</w:t>
            </w:r>
          </w:p>
        </w:tc>
        <w:tc>
          <w:tcPr>
            <w:tcW w:w="533" w:type="pct"/>
            <w:shd w:val="clear" w:color="auto" w:fill="auto"/>
            <w:noWrap/>
            <w:vAlign w:val="center"/>
          </w:tcPr>
          <w:p>
            <w:pPr>
              <w:spacing w:line="240" w:lineRule="auto"/>
              <w:jc w:val="center"/>
              <w:rPr>
                <w:rFonts w:hint="eastAsia"/>
                <w:sz w:val="19"/>
              </w:rPr>
            </w:pPr>
            <w:r>
              <w:rPr>
                <w:rFonts w:hint="eastAsia"/>
                <w:sz w:val="19"/>
              </w:rPr>
              <w:t>0</w:t>
            </w:r>
          </w:p>
        </w:tc>
        <w:tc>
          <w:tcPr>
            <w:tcW w:w="1329" w:type="pct"/>
            <w:vAlign w:val="center"/>
          </w:tcPr>
          <w:p>
            <w:pPr>
              <w:spacing w:line="240" w:lineRule="auto"/>
              <w:jc w:val="center"/>
              <w:rPr>
                <w:rFonts w:hint="eastAsia"/>
                <w:sz w:val="19"/>
              </w:rPr>
            </w:pPr>
            <w:r>
              <w:rPr>
                <w:rFonts w:hint="eastAsia"/>
                <w:sz w:val="19"/>
              </w:rPr>
              <w:t>1</w:t>
            </w:r>
          </w:p>
        </w:tc>
        <w:tc>
          <w:tcPr>
            <w:tcW w:w="643" w:type="pct"/>
            <w:vAlign w:val="center"/>
          </w:tcPr>
          <w:p>
            <w:pPr>
              <w:spacing w:line="240" w:lineRule="auto"/>
              <w:jc w:val="center"/>
              <w:rPr>
                <w:rFonts w:hint="eastAsia"/>
                <w:sz w:val="19"/>
              </w:rPr>
            </w:pPr>
            <w:r>
              <w:rPr>
                <w:rFonts w:hint="eastAsia"/>
                <w:sz w:val="19"/>
              </w:rPr>
              <w:t>2026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33" w:type="pct"/>
            <w:shd w:val="clear" w:color="auto" w:fill="auto"/>
            <w:noWrap/>
            <w:vAlign w:val="center"/>
          </w:tcPr>
          <w:p>
            <w:pPr>
              <w:spacing w:line="240" w:lineRule="auto"/>
              <w:jc w:val="center"/>
              <w:rPr>
                <w:rFonts w:hint="eastAsia"/>
                <w:sz w:val="19"/>
              </w:rPr>
            </w:pPr>
            <w:r>
              <w:rPr>
                <w:rFonts w:hint="eastAsia"/>
                <w:sz w:val="19"/>
              </w:rPr>
              <w:t>2</w:t>
            </w:r>
          </w:p>
        </w:tc>
        <w:tc>
          <w:tcPr>
            <w:tcW w:w="792" w:type="pct"/>
            <w:shd w:val="clear" w:color="auto" w:fill="auto"/>
            <w:noWrap/>
            <w:vAlign w:val="center"/>
          </w:tcPr>
          <w:p>
            <w:pPr>
              <w:spacing w:line="240" w:lineRule="auto"/>
              <w:jc w:val="center"/>
              <w:rPr>
                <w:rFonts w:hint="eastAsia"/>
                <w:sz w:val="19"/>
              </w:rPr>
            </w:pPr>
            <w:r>
              <w:rPr>
                <w:rFonts w:hint="eastAsia"/>
                <w:sz w:val="19"/>
              </w:rPr>
              <w:t>桓仁县西侧桥头附近</w:t>
            </w:r>
          </w:p>
        </w:tc>
        <w:tc>
          <w:tcPr>
            <w:tcW w:w="988" w:type="pct"/>
            <w:shd w:val="clear" w:color="auto" w:fill="auto"/>
            <w:noWrap/>
            <w:vAlign w:val="center"/>
          </w:tcPr>
          <w:p>
            <w:pPr>
              <w:spacing w:line="240" w:lineRule="auto"/>
              <w:jc w:val="center"/>
              <w:rPr>
                <w:rFonts w:hint="eastAsia"/>
                <w:sz w:val="19"/>
              </w:rPr>
            </w:pPr>
            <w:r>
              <w:rPr>
                <w:rFonts w:hint="eastAsia"/>
                <w:sz w:val="19"/>
              </w:rPr>
              <w:t>桓仁县西侧桥头附近</w:t>
            </w:r>
          </w:p>
        </w:tc>
        <w:tc>
          <w:tcPr>
            <w:tcW w:w="211" w:type="pct"/>
            <w:shd w:val="clear" w:color="auto" w:fill="auto"/>
            <w:noWrap/>
            <w:vAlign w:val="center"/>
          </w:tcPr>
          <w:p>
            <w:pPr>
              <w:spacing w:line="240" w:lineRule="auto"/>
              <w:jc w:val="center"/>
              <w:rPr>
                <w:rFonts w:hint="eastAsia"/>
                <w:sz w:val="19"/>
              </w:rPr>
            </w:pPr>
            <w:r>
              <w:rPr>
                <w:rFonts w:hint="eastAsia"/>
                <w:sz w:val="19"/>
              </w:rPr>
              <w:t>新建</w:t>
            </w:r>
          </w:p>
        </w:tc>
        <w:tc>
          <w:tcPr>
            <w:tcW w:w="371" w:type="pct"/>
            <w:shd w:val="clear" w:color="auto" w:fill="auto"/>
            <w:noWrap/>
            <w:vAlign w:val="center"/>
          </w:tcPr>
          <w:p>
            <w:pPr>
              <w:spacing w:line="240" w:lineRule="auto"/>
              <w:jc w:val="center"/>
              <w:rPr>
                <w:rFonts w:hint="eastAsia"/>
                <w:sz w:val="19"/>
              </w:rPr>
            </w:pPr>
            <w:r>
              <w:rPr>
                <w:rFonts w:hint="eastAsia"/>
                <w:sz w:val="19"/>
              </w:rPr>
              <w:t>5</w:t>
            </w:r>
          </w:p>
        </w:tc>
        <w:tc>
          <w:tcPr>
            <w:tcW w:w="533" w:type="pct"/>
            <w:shd w:val="clear" w:color="auto" w:fill="auto"/>
            <w:noWrap/>
            <w:vAlign w:val="center"/>
          </w:tcPr>
          <w:p>
            <w:pPr>
              <w:spacing w:line="240" w:lineRule="auto"/>
              <w:jc w:val="center"/>
              <w:rPr>
                <w:rFonts w:hint="eastAsia"/>
                <w:sz w:val="19"/>
              </w:rPr>
            </w:pPr>
            <w:r>
              <w:rPr>
                <w:rFonts w:hint="eastAsia"/>
                <w:sz w:val="19"/>
              </w:rPr>
              <w:t>0</w:t>
            </w:r>
          </w:p>
        </w:tc>
        <w:tc>
          <w:tcPr>
            <w:tcW w:w="1329" w:type="pct"/>
            <w:vAlign w:val="center"/>
          </w:tcPr>
          <w:p>
            <w:pPr>
              <w:spacing w:line="240" w:lineRule="auto"/>
              <w:jc w:val="center"/>
              <w:rPr>
                <w:rFonts w:hint="eastAsia"/>
                <w:sz w:val="19"/>
              </w:rPr>
            </w:pPr>
            <w:r>
              <w:rPr>
                <w:rFonts w:hint="eastAsia"/>
                <w:sz w:val="19"/>
              </w:rPr>
              <w:t>1</w:t>
            </w:r>
          </w:p>
        </w:tc>
        <w:tc>
          <w:tcPr>
            <w:tcW w:w="643" w:type="pct"/>
            <w:vAlign w:val="center"/>
          </w:tcPr>
          <w:p>
            <w:pPr>
              <w:spacing w:line="240" w:lineRule="auto"/>
              <w:jc w:val="center"/>
              <w:rPr>
                <w:rFonts w:hint="eastAsia"/>
                <w:sz w:val="19"/>
              </w:rPr>
            </w:pPr>
            <w:r>
              <w:rPr>
                <w:rFonts w:hint="eastAsia"/>
                <w:sz w:val="19"/>
              </w:rPr>
              <w:t>2028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33" w:type="pct"/>
            <w:shd w:val="clear" w:color="auto" w:fill="auto"/>
            <w:noWrap/>
            <w:vAlign w:val="center"/>
          </w:tcPr>
          <w:p>
            <w:pPr>
              <w:spacing w:line="240" w:lineRule="auto"/>
              <w:jc w:val="center"/>
              <w:rPr>
                <w:rFonts w:hint="eastAsia"/>
                <w:sz w:val="19"/>
              </w:rPr>
            </w:pPr>
            <w:r>
              <w:rPr>
                <w:rFonts w:hint="eastAsia"/>
                <w:sz w:val="19"/>
              </w:rPr>
              <w:t>3</w:t>
            </w:r>
          </w:p>
        </w:tc>
        <w:tc>
          <w:tcPr>
            <w:tcW w:w="792" w:type="pct"/>
            <w:shd w:val="clear" w:color="auto" w:fill="auto"/>
            <w:noWrap/>
            <w:vAlign w:val="center"/>
          </w:tcPr>
          <w:p>
            <w:pPr>
              <w:spacing w:line="240" w:lineRule="auto"/>
              <w:jc w:val="center"/>
              <w:rPr>
                <w:rFonts w:hint="eastAsia"/>
                <w:sz w:val="19"/>
              </w:rPr>
            </w:pPr>
            <w:r>
              <w:rPr>
                <w:rFonts w:hint="eastAsia"/>
                <w:sz w:val="19"/>
              </w:rPr>
              <w:t>雅河客运站对面工业园区</w:t>
            </w:r>
          </w:p>
        </w:tc>
        <w:tc>
          <w:tcPr>
            <w:tcW w:w="988" w:type="pct"/>
            <w:shd w:val="clear" w:color="auto" w:fill="auto"/>
            <w:noWrap/>
            <w:vAlign w:val="center"/>
          </w:tcPr>
          <w:p>
            <w:pPr>
              <w:spacing w:line="240" w:lineRule="auto"/>
              <w:jc w:val="center"/>
              <w:rPr>
                <w:rFonts w:hint="eastAsia"/>
                <w:sz w:val="19"/>
              </w:rPr>
            </w:pPr>
            <w:r>
              <w:rPr>
                <w:rFonts w:hint="eastAsia"/>
                <w:sz w:val="19"/>
              </w:rPr>
              <w:t>雅河客运站对面工业园区</w:t>
            </w:r>
          </w:p>
        </w:tc>
        <w:tc>
          <w:tcPr>
            <w:tcW w:w="211" w:type="pct"/>
            <w:shd w:val="clear" w:color="auto" w:fill="auto"/>
            <w:noWrap/>
            <w:vAlign w:val="center"/>
          </w:tcPr>
          <w:p>
            <w:pPr>
              <w:spacing w:line="240" w:lineRule="auto"/>
              <w:jc w:val="center"/>
              <w:rPr>
                <w:rFonts w:hint="eastAsia"/>
                <w:sz w:val="19"/>
              </w:rPr>
            </w:pPr>
            <w:r>
              <w:rPr>
                <w:rFonts w:hint="eastAsia"/>
                <w:sz w:val="19"/>
              </w:rPr>
              <w:t>新建</w:t>
            </w:r>
          </w:p>
        </w:tc>
        <w:tc>
          <w:tcPr>
            <w:tcW w:w="371" w:type="pct"/>
            <w:shd w:val="clear" w:color="auto" w:fill="auto"/>
            <w:noWrap/>
            <w:vAlign w:val="center"/>
          </w:tcPr>
          <w:p>
            <w:pPr>
              <w:spacing w:line="240" w:lineRule="auto"/>
              <w:jc w:val="center"/>
              <w:rPr>
                <w:rFonts w:hint="eastAsia"/>
                <w:sz w:val="19"/>
              </w:rPr>
            </w:pPr>
            <w:r>
              <w:rPr>
                <w:rFonts w:hint="eastAsia"/>
                <w:sz w:val="19"/>
              </w:rPr>
              <w:t>10</w:t>
            </w:r>
          </w:p>
        </w:tc>
        <w:tc>
          <w:tcPr>
            <w:tcW w:w="533" w:type="pct"/>
            <w:shd w:val="clear" w:color="auto" w:fill="auto"/>
            <w:noWrap/>
            <w:vAlign w:val="center"/>
          </w:tcPr>
          <w:p>
            <w:pPr>
              <w:spacing w:line="240" w:lineRule="auto"/>
              <w:jc w:val="center"/>
              <w:rPr>
                <w:rFonts w:hint="eastAsia"/>
                <w:sz w:val="19"/>
              </w:rPr>
            </w:pPr>
            <w:r>
              <w:rPr>
                <w:rFonts w:hint="eastAsia"/>
                <w:sz w:val="19"/>
              </w:rPr>
              <w:t>0</w:t>
            </w:r>
          </w:p>
        </w:tc>
        <w:tc>
          <w:tcPr>
            <w:tcW w:w="1329" w:type="pct"/>
            <w:vAlign w:val="center"/>
          </w:tcPr>
          <w:p>
            <w:pPr>
              <w:spacing w:line="240" w:lineRule="auto"/>
              <w:jc w:val="center"/>
              <w:rPr>
                <w:rFonts w:hint="eastAsia"/>
                <w:sz w:val="19"/>
              </w:rPr>
            </w:pPr>
            <w:r>
              <w:rPr>
                <w:rFonts w:hint="eastAsia"/>
                <w:sz w:val="19"/>
              </w:rPr>
              <w:t>2</w:t>
            </w:r>
          </w:p>
        </w:tc>
        <w:tc>
          <w:tcPr>
            <w:tcW w:w="643" w:type="pct"/>
            <w:vAlign w:val="center"/>
          </w:tcPr>
          <w:p>
            <w:pPr>
              <w:spacing w:line="240" w:lineRule="auto"/>
              <w:jc w:val="center"/>
              <w:rPr>
                <w:rFonts w:hint="eastAsia"/>
                <w:sz w:val="19"/>
              </w:rPr>
            </w:pPr>
            <w:r>
              <w:rPr>
                <w:rFonts w:hint="eastAsia"/>
                <w:sz w:val="19"/>
              </w:rPr>
              <w:t>2028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33" w:type="pct"/>
            <w:shd w:val="clear" w:color="auto" w:fill="auto"/>
            <w:noWrap/>
            <w:vAlign w:val="center"/>
          </w:tcPr>
          <w:p>
            <w:pPr>
              <w:spacing w:line="240" w:lineRule="auto"/>
              <w:jc w:val="center"/>
              <w:rPr>
                <w:rFonts w:hint="eastAsia"/>
                <w:sz w:val="19"/>
              </w:rPr>
            </w:pPr>
            <w:r>
              <w:rPr>
                <w:rFonts w:hint="eastAsia"/>
                <w:sz w:val="19"/>
              </w:rPr>
              <w:t>4</w:t>
            </w:r>
          </w:p>
        </w:tc>
        <w:tc>
          <w:tcPr>
            <w:tcW w:w="792" w:type="pct"/>
            <w:shd w:val="clear" w:color="auto" w:fill="auto"/>
            <w:noWrap/>
            <w:vAlign w:val="center"/>
          </w:tcPr>
          <w:p>
            <w:pPr>
              <w:spacing w:line="240" w:lineRule="auto"/>
              <w:jc w:val="center"/>
              <w:rPr>
                <w:rFonts w:hint="eastAsia"/>
                <w:sz w:val="19"/>
              </w:rPr>
            </w:pPr>
            <w:r>
              <w:rPr>
                <w:rFonts w:hint="eastAsia"/>
                <w:sz w:val="19"/>
              </w:rPr>
              <w:t>二棚甸子客运站）</w:t>
            </w:r>
          </w:p>
        </w:tc>
        <w:tc>
          <w:tcPr>
            <w:tcW w:w="988" w:type="pct"/>
            <w:shd w:val="clear" w:color="auto" w:fill="auto"/>
            <w:noWrap/>
            <w:vAlign w:val="center"/>
          </w:tcPr>
          <w:p>
            <w:pPr>
              <w:spacing w:line="240" w:lineRule="auto"/>
              <w:jc w:val="center"/>
              <w:rPr>
                <w:rFonts w:hint="eastAsia"/>
                <w:sz w:val="19"/>
              </w:rPr>
            </w:pPr>
            <w:r>
              <w:rPr>
                <w:rFonts w:hint="eastAsia"/>
                <w:sz w:val="19"/>
              </w:rPr>
              <w:t>二棚甸子客运站</w:t>
            </w:r>
          </w:p>
        </w:tc>
        <w:tc>
          <w:tcPr>
            <w:tcW w:w="211" w:type="pct"/>
            <w:shd w:val="clear" w:color="auto" w:fill="auto"/>
            <w:noWrap/>
            <w:vAlign w:val="center"/>
          </w:tcPr>
          <w:p>
            <w:pPr>
              <w:spacing w:line="240" w:lineRule="auto"/>
              <w:jc w:val="center"/>
              <w:rPr>
                <w:rFonts w:hint="eastAsia"/>
                <w:sz w:val="19"/>
              </w:rPr>
            </w:pPr>
            <w:r>
              <w:rPr>
                <w:rFonts w:hint="eastAsia"/>
                <w:sz w:val="19"/>
              </w:rPr>
              <w:t>新建</w:t>
            </w:r>
          </w:p>
        </w:tc>
        <w:tc>
          <w:tcPr>
            <w:tcW w:w="371" w:type="pct"/>
            <w:shd w:val="clear" w:color="auto" w:fill="auto"/>
            <w:noWrap/>
            <w:vAlign w:val="center"/>
          </w:tcPr>
          <w:p>
            <w:pPr>
              <w:spacing w:line="240" w:lineRule="auto"/>
              <w:jc w:val="center"/>
              <w:rPr>
                <w:rFonts w:hint="eastAsia"/>
                <w:sz w:val="19"/>
              </w:rPr>
            </w:pPr>
            <w:r>
              <w:rPr>
                <w:rFonts w:hint="eastAsia"/>
                <w:sz w:val="19"/>
              </w:rPr>
              <w:t>3</w:t>
            </w:r>
          </w:p>
        </w:tc>
        <w:tc>
          <w:tcPr>
            <w:tcW w:w="533" w:type="pct"/>
            <w:shd w:val="clear" w:color="auto" w:fill="auto"/>
            <w:noWrap/>
            <w:vAlign w:val="center"/>
          </w:tcPr>
          <w:p>
            <w:pPr>
              <w:spacing w:line="240" w:lineRule="auto"/>
              <w:jc w:val="center"/>
              <w:rPr>
                <w:rFonts w:hint="eastAsia"/>
                <w:sz w:val="19"/>
              </w:rPr>
            </w:pPr>
            <w:r>
              <w:rPr>
                <w:rFonts w:hint="eastAsia"/>
                <w:sz w:val="19"/>
              </w:rPr>
              <w:t>0</w:t>
            </w:r>
          </w:p>
        </w:tc>
        <w:tc>
          <w:tcPr>
            <w:tcW w:w="1329" w:type="pct"/>
            <w:vAlign w:val="center"/>
          </w:tcPr>
          <w:p>
            <w:pPr>
              <w:spacing w:line="240" w:lineRule="auto"/>
              <w:jc w:val="center"/>
              <w:rPr>
                <w:rFonts w:hint="eastAsia"/>
                <w:sz w:val="19"/>
              </w:rPr>
            </w:pPr>
            <w:r>
              <w:rPr>
                <w:rFonts w:hint="eastAsia"/>
                <w:sz w:val="19"/>
              </w:rPr>
              <w:t>1</w:t>
            </w:r>
          </w:p>
        </w:tc>
        <w:tc>
          <w:tcPr>
            <w:tcW w:w="643" w:type="pct"/>
            <w:vAlign w:val="center"/>
          </w:tcPr>
          <w:p>
            <w:pPr>
              <w:spacing w:line="240" w:lineRule="auto"/>
              <w:jc w:val="center"/>
              <w:rPr>
                <w:rFonts w:hint="eastAsia"/>
                <w:sz w:val="19"/>
              </w:rPr>
            </w:pPr>
            <w:r>
              <w:rPr>
                <w:rFonts w:hint="eastAsia"/>
                <w:sz w:val="19"/>
              </w:rPr>
              <w:t>2025</w:t>
            </w:r>
          </w:p>
        </w:tc>
      </w:tr>
    </w:tbl>
    <w:p>
      <w:pPr>
        <w:spacing w:line="240" w:lineRule="auto"/>
        <w:rPr>
          <w:rFonts w:hint="eastAsia"/>
        </w:rPr>
      </w:pPr>
      <w:r>
        <w:drawing>
          <wp:inline distT="0" distB="0" distL="0" distR="0">
            <wp:extent cx="5274310" cy="4042410"/>
            <wp:effectExtent l="0" t="0" r="2540" b="0"/>
            <wp:docPr id="15741084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108401" name="图片 1"/>
                    <pic:cNvPicPr>
                      <a:picLocks noChangeAspect="1"/>
                    </pic:cNvPicPr>
                  </pic:nvPicPr>
                  <pic:blipFill>
                    <a:blip r:embed="rId62"/>
                    <a:stretch>
                      <a:fillRect/>
                    </a:stretch>
                  </pic:blipFill>
                  <pic:spPr>
                    <a:xfrm>
                      <a:off x="0" y="0"/>
                      <a:ext cx="5274310" cy="4042410"/>
                    </a:xfrm>
                    <a:prstGeom prst="rect">
                      <a:avLst/>
                    </a:prstGeom>
                  </pic:spPr>
                </pic:pic>
              </a:graphicData>
            </a:graphic>
          </wp:inline>
        </w:drawing>
      </w:r>
    </w:p>
    <w:p>
      <w:pPr>
        <w:pStyle w:val="8"/>
      </w:pPr>
      <w:r>
        <w:rPr>
          <w:rFonts w:hint="eastAsia"/>
        </w:rPr>
        <w:t>桓仁满族自治县物流车专用充电设施布局图（共建）</w:t>
      </w:r>
    </w:p>
    <w:p>
      <w:pPr>
        <w:pStyle w:val="3"/>
      </w:pPr>
      <w:r>
        <w:rPr>
          <w:rFonts w:hint="eastAsia"/>
        </w:rPr>
        <w:t>新技术展望</w:t>
      </w:r>
      <w:bookmarkEnd w:id="77"/>
      <w:bookmarkEnd w:id="78"/>
    </w:p>
    <w:p>
      <w:pPr>
        <w:pStyle w:val="4"/>
      </w:pPr>
      <w:r>
        <w:rPr>
          <w:rFonts w:hint="eastAsia"/>
          <w:bCs/>
          <w:sz w:val="32"/>
          <w:szCs w:val="32"/>
        </w:rPr>
        <w:t>光储充一体化停车场</w:t>
      </w:r>
    </w:p>
    <w:p>
      <w:pPr>
        <w:pStyle w:val="5"/>
      </w:pPr>
      <w:r>
        <w:rPr>
          <w:rFonts w:hint="eastAsia"/>
          <w:bCs/>
          <w:sz w:val="32"/>
          <w:szCs w:val="32"/>
        </w:rPr>
        <w:t>技术原理</w:t>
      </w:r>
    </w:p>
    <w:p>
      <w:pPr>
        <w:ind w:firstLine="561"/>
        <w:rPr>
          <w:rFonts w:hint="eastAsia" w:cs="仿宋_GB2312"/>
          <w:szCs w:val="28"/>
        </w:rPr>
      </w:pPr>
      <w:r>
        <w:rPr>
          <w:rFonts w:cs="仿宋_GB2312"/>
          <w:szCs w:val="28"/>
        </w:rPr>
        <w:t>光储充一体化停车场主要由电网、交直流充电桩、磷酸铁锂电池储能系统、车棚光伏发电系统和能量管理系统组成，其结构如图所示。</w:t>
      </w:r>
    </w:p>
    <w:p>
      <w:pPr>
        <w:spacing w:line="240" w:lineRule="auto"/>
        <w:ind w:firstLine="561"/>
        <w:rPr>
          <w:rFonts w:hint="eastAsia" w:cs="仿宋_GB2312"/>
          <w:szCs w:val="28"/>
        </w:rPr>
      </w:pPr>
      <w:r>
        <w:drawing>
          <wp:inline distT="0" distB="0" distL="0" distR="0">
            <wp:extent cx="5274310" cy="2503805"/>
            <wp:effectExtent l="0" t="0" r="2540" b="0"/>
            <wp:docPr id="11633332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333248" name="图片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5274310" cy="2503805"/>
                    </a:xfrm>
                    <a:prstGeom prst="rect">
                      <a:avLst/>
                    </a:prstGeom>
                    <a:noFill/>
                    <a:ln>
                      <a:noFill/>
                    </a:ln>
                  </pic:spPr>
                </pic:pic>
              </a:graphicData>
            </a:graphic>
          </wp:inline>
        </w:drawing>
      </w:r>
    </w:p>
    <w:p>
      <w:pPr>
        <w:pStyle w:val="8"/>
        <w:spacing w:after="30"/>
      </w:pPr>
      <w:r>
        <w:rPr>
          <w:rFonts w:hint="eastAsia"/>
        </w:rPr>
        <w:t>技术原理示意图</w:t>
      </w:r>
    </w:p>
    <w:p>
      <w:pPr>
        <w:ind w:firstLine="560"/>
        <w:rPr>
          <w:rFonts w:hint="eastAsia" w:cs="仿宋_GB2312"/>
          <w:szCs w:val="28"/>
        </w:rPr>
      </w:pPr>
      <w:r>
        <w:rPr>
          <w:rFonts w:cs="仿宋_GB2312"/>
          <w:szCs w:val="28"/>
        </w:rPr>
        <w:t>光伏发电系统为电网白天运行提供电源，光伏发电系统发出的电能在智能微网段被充电桩消纳，当充电桩无法消纳时，可以为智能微网段的储能蓄电池充电，同时通过厂网系统被停车场负荷（照明、视频监控、智能停车系统等）消纳。在智能微网段设置储能电池，可以平抑智能微网系统中光伏发电与用电负荷不匹配造成的冲击，保证智能微网系统的平稳运行。设置储能系统可使智能微电网高效利用太阳能资源，并可使智能微电网系统短时脱离厂网运行，提高智能微电网系统工作的稳定性和连续性。</w:t>
      </w:r>
    </w:p>
    <w:p>
      <w:pPr>
        <w:pStyle w:val="5"/>
      </w:pPr>
      <w:r>
        <w:rPr>
          <w:rFonts w:hint="eastAsia"/>
          <w:bCs/>
          <w:sz w:val="32"/>
          <w:szCs w:val="32"/>
        </w:rPr>
        <w:t>光伏发电系统的设计</w:t>
      </w:r>
    </w:p>
    <w:p>
      <w:pPr>
        <w:ind w:firstLine="560"/>
        <w:rPr>
          <w:rFonts w:hint="eastAsia" w:cs="仿宋_GB2312"/>
          <w:szCs w:val="28"/>
        </w:rPr>
      </w:pPr>
      <w:r>
        <w:rPr>
          <w:rFonts w:cs="仿宋_GB2312"/>
          <w:szCs w:val="28"/>
        </w:rPr>
        <w:t>太阳能电池组件具有封装及内部联结，能单独提供直流电输出，是最小且不可分割的太阳能电池组合装置，可以将太阳辐射能直接转换成电能。按基础材料的不同，太阳能电池可分为晶体硅太阳能电池、非晶硅太阳能电池和化合物太阳能电池。考虑到光伏雨棚的承重能力，选用化合物太阳能电池中的铜铟镓硒太阳能电池作为光伏组件。在相同遮蔽面积下铜铟镓硒太阳能电池的功率损失较小、功率温度系数和光传输较佳、累积发电量较高、重量较轻，易安装于各种建筑</w:t>
      </w:r>
      <w:r>
        <w:rPr>
          <w:rFonts w:hint="eastAsia" w:cs="仿宋_GB2312"/>
          <w:szCs w:val="28"/>
        </w:rPr>
        <w:t>。</w:t>
      </w:r>
    </w:p>
    <w:p>
      <w:pPr>
        <w:pStyle w:val="5"/>
      </w:pPr>
      <w:r>
        <w:rPr>
          <w:rFonts w:hint="eastAsia"/>
          <w:bCs/>
          <w:sz w:val="32"/>
          <w:szCs w:val="32"/>
        </w:rPr>
        <w:t>充电桩的设计</w:t>
      </w:r>
    </w:p>
    <w:p>
      <w:pPr>
        <w:ind w:firstLine="560"/>
        <w:rPr>
          <w:rFonts w:hint="eastAsia" w:cs="仿宋_GB2312"/>
          <w:szCs w:val="28"/>
        </w:rPr>
      </w:pPr>
      <w:r>
        <w:rPr>
          <w:rFonts w:cs="仿宋_GB2312"/>
          <w:szCs w:val="28"/>
        </w:rPr>
        <w:t>在</w:t>
      </w:r>
      <w:r>
        <w:rPr>
          <w:rFonts w:hint="eastAsia" w:cs="仿宋_GB2312"/>
          <w:szCs w:val="28"/>
        </w:rPr>
        <w:t>五女山山城</w:t>
      </w:r>
      <w:r>
        <w:rPr>
          <w:rFonts w:cs="仿宋_GB2312"/>
          <w:szCs w:val="28"/>
        </w:rPr>
        <w:t>停车场停车位安装电动汽车充电桩，布置于中心区域的停车位，配置直流快速充电桩共</w:t>
      </w:r>
      <w:r>
        <w:rPr>
          <w:rFonts w:hint="eastAsia" w:cs="仿宋_GB2312"/>
          <w:szCs w:val="28"/>
        </w:rPr>
        <w:t>8</w:t>
      </w:r>
      <w:r>
        <w:rPr>
          <w:rFonts w:cs="仿宋_GB2312"/>
          <w:szCs w:val="28"/>
        </w:rPr>
        <w:t>台。集成式直流快速充电桩容量为60kW，每台充电桩为</w:t>
      </w:r>
      <w:r>
        <w:rPr>
          <w:rFonts w:hint="eastAsia" w:cs="仿宋_GB2312"/>
          <w:szCs w:val="28"/>
        </w:rPr>
        <w:t>单</w:t>
      </w:r>
      <w:r>
        <w:rPr>
          <w:rFonts w:cs="仿宋_GB2312"/>
          <w:szCs w:val="28"/>
        </w:rPr>
        <w:t>枪充电，可同时满足</w:t>
      </w:r>
      <w:r>
        <w:rPr>
          <w:rFonts w:hint="eastAsia" w:cs="仿宋_GB2312"/>
          <w:szCs w:val="28"/>
        </w:rPr>
        <w:t>8</w:t>
      </w:r>
      <w:r>
        <w:rPr>
          <w:rFonts w:cs="仿宋_GB2312"/>
          <w:szCs w:val="28"/>
        </w:rPr>
        <w:t>台汽车的快速充电需求。采用立柱式安装。充电桩具有测量、控制与保护的功能，如运行状态监测、故障状态监测、充电计量与计费、充电过程联动控制。充电桩供电来源为车棚光伏发电系统和地区供电系统。汽车蓄电池的通信系统可以和充电桩通信，充电桩根据汽车的实时需求给电动车充电。</w:t>
      </w:r>
    </w:p>
    <w:p>
      <w:pPr>
        <w:pStyle w:val="5"/>
      </w:pPr>
      <w:r>
        <w:rPr>
          <w:rFonts w:hint="eastAsia"/>
          <w:bCs/>
          <w:sz w:val="32"/>
          <w:szCs w:val="32"/>
        </w:rPr>
        <w:t>储能系统的设计</w:t>
      </w:r>
    </w:p>
    <w:p>
      <w:pPr>
        <w:ind w:firstLine="560"/>
        <w:rPr>
          <w:rFonts w:hint="eastAsia" w:cs="仿宋_GB2312"/>
          <w:szCs w:val="28"/>
        </w:rPr>
      </w:pPr>
      <w:r>
        <w:rPr>
          <w:rFonts w:cs="仿宋_GB2312"/>
          <w:szCs w:val="28"/>
        </w:rPr>
        <w:t>电力储能主要采用磷酸铁锂电池，该电池循环寿命长、稳定性和耐久性优秀、能量密度高、安全性更高、更耐高温，在对电池安全可靠性要求较高的电力行业有着不可替代的优势。充分考虑光伏发电系统功率、使用效率等因素，建设1套250kW/500kW·h的储能系统，主要作为备用电源，兼顾削峰填谷。该配置容量确保离网情况下双向变流器能够以额定功率放电2h。采用STS切换开关配合PCS使用，可以实现并离网无缝切换（切换时间＜15ms）。</w:t>
      </w:r>
    </w:p>
    <w:p>
      <w:pPr>
        <w:pStyle w:val="5"/>
      </w:pPr>
      <w:r>
        <w:rPr>
          <w:rFonts w:hint="eastAsia"/>
          <w:bCs/>
          <w:sz w:val="32"/>
          <w:szCs w:val="32"/>
        </w:rPr>
        <w:t>光伏发电系统设计</w:t>
      </w:r>
    </w:p>
    <w:p>
      <w:pPr>
        <w:ind w:firstLine="560"/>
        <w:rPr>
          <w:rFonts w:hint="eastAsia" w:cs="仿宋_GB2312"/>
          <w:szCs w:val="28"/>
        </w:rPr>
      </w:pPr>
      <w:r>
        <w:rPr>
          <w:rFonts w:cs="仿宋_GB2312"/>
          <w:szCs w:val="28"/>
        </w:rPr>
        <w:t>光储充能量管理（ESMS）系统对系统中所有发电、充电、变流、储能设备，以及相关的环境、告警传感器等进行集中监控和管理，如图所示。ESMS系统通过智能化数据采集及传输模块采集设备信息、传感器状态等。ESMS系统还可实现设备告警和短信、微信通知功能，以便用户及时处理故障。用户可以通过WEB浏览器随时随地查看设备信息。能量管理系统是光储充一体化停车场的调度中心，可以收集能源数据，进行能量管理、网络分析，采用了SCADA/EMS/DMS技术，可以对光储充一体化停车场进行分散控制和集中管理、优化能源调度和平衡指挥系统，实现光伏出力管理、储能装置放电管理和充电桩管理。能量管理系统常用的三种控制模式为固定充放时段模式、计划曲线模式、负荷跟踪模式。其中，固定充放时段模式是系统功能的缺省模式和紧急备用模式；在计划曲线模式下，系统运行与负荷预测功能协作，当负荷预测功能运行异常时，需退出该模式；负荷跟踪模式的实时系统负荷曲线通过通信规约从调度侧获取。</w:t>
      </w:r>
    </w:p>
    <w:p>
      <w:pPr>
        <w:spacing w:line="240" w:lineRule="auto"/>
        <w:rPr>
          <w:rFonts w:hint="eastAsia"/>
        </w:rPr>
      </w:pPr>
      <w:r>
        <w:drawing>
          <wp:inline distT="0" distB="0" distL="0" distR="0">
            <wp:extent cx="5274310" cy="3154680"/>
            <wp:effectExtent l="0" t="0" r="2540" b="7620"/>
            <wp:docPr id="1949890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89041" name="图片 1"/>
                    <pic:cNvPicPr>
                      <a:picLocks noChangeAspect="1"/>
                    </pic:cNvPicPr>
                  </pic:nvPicPr>
                  <pic:blipFill>
                    <a:blip r:embed="rId64"/>
                    <a:stretch>
                      <a:fillRect/>
                    </a:stretch>
                  </pic:blipFill>
                  <pic:spPr>
                    <a:xfrm>
                      <a:off x="0" y="0"/>
                      <a:ext cx="5274310" cy="3154680"/>
                    </a:xfrm>
                    <a:prstGeom prst="rect">
                      <a:avLst/>
                    </a:prstGeom>
                  </pic:spPr>
                </pic:pic>
              </a:graphicData>
            </a:graphic>
          </wp:inline>
        </w:drawing>
      </w:r>
    </w:p>
    <w:p>
      <w:pPr>
        <w:pStyle w:val="8"/>
      </w:pPr>
      <w:r>
        <w:t>光储充能量管理（ESMS）系统示意图</w:t>
      </w:r>
    </w:p>
    <w:p>
      <w:pPr>
        <w:rPr>
          <w:rFonts w:hint="eastAsia"/>
        </w:rPr>
      </w:pPr>
    </w:p>
    <w:bookmarkEnd w:id="76"/>
    <w:p>
      <w:pPr>
        <w:pStyle w:val="2"/>
      </w:pPr>
      <w:bookmarkStart w:id="79" w:name="_Toc94186600"/>
      <w:bookmarkStart w:id="80" w:name="_Toc31382"/>
      <w:r>
        <w:rPr>
          <w:rFonts w:hint="eastAsia"/>
        </w:rPr>
        <w:t>重点任务</w:t>
      </w:r>
    </w:p>
    <w:p>
      <w:pPr>
        <w:ind w:firstLine="560"/>
        <w:rPr>
          <w:rFonts w:hint="eastAsia" w:cs="仿宋_GB2312"/>
          <w:b/>
          <w:bCs/>
          <w:szCs w:val="28"/>
        </w:rPr>
      </w:pPr>
      <w:r>
        <w:rPr>
          <w:rFonts w:cs="仿宋_GB2312"/>
          <w:b/>
          <w:bCs/>
          <w:szCs w:val="28"/>
        </w:rPr>
        <w:t>(1)加快公共充电网络布局</w:t>
      </w:r>
    </w:p>
    <w:p>
      <w:pPr>
        <w:ind w:firstLine="560"/>
        <w:rPr>
          <w:rFonts w:hint="eastAsia" w:cs="仿宋_GB2312"/>
          <w:szCs w:val="28"/>
        </w:rPr>
      </w:pPr>
      <w:r>
        <w:rPr>
          <w:rFonts w:hint="eastAsia" w:cs="仿宋_GB2312"/>
          <w:szCs w:val="28"/>
        </w:rPr>
        <w:t>坚持从城市中心向边缘、从城市向乡镇逐步推进公共充电设施建设。优先在商业场所、文体场馆、办公园区等建筑物配建的停车场以及交通枢纽、驻车换乘</w:t>
      </w:r>
      <w:r>
        <w:rPr>
          <w:rFonts w:cs="仿宋_GB2312"/>
          <w:szCs w:val="28"/>
        </w:rPr>
        <w:t>(P+R)等公共停车场建设公共充电设施。鼓励充电设施运营企业利用自有或租赁土地建设充电站。</w:t>
      </w:r>
    </w:p>
    <w:p>
      <w:pPr>
        <w:ind w:firstLine="560"/>
        <w:rPr>
          <w:rFonts w:hint="eastAsia" w:cs="仿宋_GB2312"/>
          <w:b/>
          <w:bCs/>
          <w:szCs w:val="28"/>
        </w:rPr>
      </w:pPr>
      <w:r>
        <w:rPr>
          <w:rFonts w:cs="仿宋_GB2312"/>
          <w:b/>
          <w:bCs/>
          <w:szCs w:val="28"/>
        </w:rPr>
        <w:t>(2)推进专用充电设施建设</w:t>
      </w:r>
    </w:p>
    <w:p>
      <w:pPr>
        <w:ind w:firstLine="560"/>
        <w:rPr>
          <w:rFonts w:hint="eastAsia" w:cs="仿宋_GB2312"/>
          <w:szCs w:val="28"/>
        </w:rPr>
      </w:pPr>
      <w:r>
        <w:rPr>
          <w:rFonts w:hint="eastAsia" w:cs="仿宋_GB2312"/>
          <w:szCs w:val="28"/>
        </w:rPr>
        <w:t>优先在公交、城际客运、机场专线、旅游专线等定点定线运行公共服务领域电动汽车停车场站配建充电设施，沿途合理建设独立占地的充换电站。在出租、物流、分时租赁等非定点定线运营的公共服务领域，充分挖掘单位内部停车场站配建充电设施的潜力，结合城市公共充电设施，实现内部专用设施与公共设施的高效互补。</w:t>
      </w:r>
    </w:p>
    <w:p>
      <w:pPr>
        <w:ind w:firstLine="560"/>
        <w:rPr>
          <w:rFonts w:hint="eastAsia" w:cs="仿宋_GB2312"/>
          <w:b/>
          <w:bCs/>
          <w:szCs w:val="28"/>
        </w:rPr>
      </w:pPr>
      <w:r>
        <w:rPr>
          <w:rFonts w:cs="仿宋_GB2312"/>
          <w:b/>
          <w:bCs/>
          <w:szCs w:val="28"/>
        </w:rPr>
        <w:t>(3)推广企事业单位共享充电</w:t>
      </w:r>
    </w:p>
    <w:p>
      <w:pPr>
        <w:ind w:firstLine="560"/>
        <w:rPr>
          <w:rFonts w:hint="eastAsia" w:cs="仿宋_GB2312"/>
          <w:szCs w:val="28"/>
        </w:rPr>
      </w:pPr>
      <w:r>
        <w:rPr>
          <w:rFonts w:hint="eastAsia" w:cs="仿宋_GB2312"/>
          <w:szCs w:val="28"/>
        </w:rPr>
        <w:t>推动具备建设条件的党政机关、学校、医院、场馆等公共机构及企事业单位利用内部停车场资源，结合单位电动汽车配备更新计划及职工购买使用电动汽车需求，配套建设充电设施或预留建设安装条件。积极支持有固定停车位用户配建充电设施，灵活挖掘城市停车空间，发展移动充电、分散式充电桩群和立体式停车</w:t>
      </w:r>
      <w:r>
        <w:rPr>
          <w:rFonts w:cs="仿宋_GB2312"/>
          <w:szCs w:val="28"/>
        </w:rPr>
        <w:t>-充电设施，充分</w:t>
      </w:r>
      <w:r>
        <w:rPr>
          <w:rFonts w:hint="eastAsia" w:cs="仿宋_GB2312"/>
          <w:szCs w:val="28"/>
        </w:rPr>
        <w:t>利用</w:t>
      </w:r>
      <w:r>
        <w:rPr>
          <w:rFonts w:cs="仿宋_GB2312"/>
          <w:szCs w:val="28"/>
        </w:rPr>
        <w:t>5G物联网技术，建设分时共享的充电设施。</w:t>
      </w:r>
    </w:p>
    <w:p>
      <w:pPr>
        <w:ind w:firstLine="560"/>
        <w:rPr>
          <w:rFonts w:hint="eastAsia" w:cs="仿宋_GB2312"/>
          <w:b/>
          <w:bCs/>
          <w:szCs w:val="28"/>
        </w:rPr>
      </w:pPr>
      <w:r>
        <w:rPr>
          <w:rFonts w:cs="仿宋_GB2312"/>
          <w:b/>
          <w:bCs/>
          <w:szCs w:val="28"/>
        </w:rPr>
        <w:t>(4)加强配套电网保障能力</w:t>
      </w:r>
    </w:p>
    <w:p>
      <w:pPr>
        <w:ind w:firstLine="560"/>
        <w:rPr>
          <w:rFonts w:hint="eastAsia" w:cs="仿宋_GB2312"/>
          <w:szCs w:val="28"/>
        </w:rPr>
      </w:pPr>
      <w:r>
        <w:rPr>
          <w:rFonts w:hint="eastAsia" w:cs="仿宋_GB2312"/>
          <w:szCs w:val="28"/>
        </w:rPr>
        <w:t>充分考虑日益增长的充电负荷，按照适度超前原则，将充电设施配套电网建设与改造纳入配电网规划。加大配套电力设施用地保障力度，加快公用电力廊道建设，确保充电设施及时接入。电网企业要按照相关规划，做好充电设施配套电网建设与改造，从产权分界点到公网接入点的配套接网工程，由电网企业负责建设和运营维护，且不得收取接网费用，相关成本纳入电网输配电价。</w:t>
      </w:r>
    </w:p>
    <w:p>
      <w:pPr>
        <w:ind w:firstLine="560"/>
        <w:rPr>
          <w:rFonts w:hint="eastAsia" w:cs="仿宋_GB2312"/>
          <w:b/>
          <w:bCs/>
          <w:szCs w:val="28"/>
        </w:rPr>
      </w:pPr>
      <w:r>
        <w:rPr>
          <w:rFonts w:cs="仿宋_GB2312"/>
          <w:b/>
          <w:bCs/>
          <w:szCs w:val="28"/>
        </w:rPr>
        <w:t>(5)完善智能服务平台</w:t>
      </w:r>
    </w:p>
    <w:p>
      <w:pPr>
        <w:ind w:firstLine="560"/>
        <w:rPr>
          <w:rFonts w:hint="eastAsia" w:cs="仿宋_GB2312"/>
          <w:szCs w:val="28"/>
        </w:rPr>
      </w:pPr>
      <w:r>
        <w:rPr>
          <w:rFonts w:hint="eastAsia" w:cs="仿宋_GB2312"/>
          <w:szCs w:val="28"/>
        </w:rPr>
        <w:t>融合互联网、物联网、智能交通、大数据技术，继续推进“互联网</w:t>
      </w:r>
      <w:r>
        <w:rPr>
          <w:rFonts w:cs="仿宋_GB2312"/>
          <w:szCs w:val="28"/>
        </w:rPr>
        <w:t>+充电设施”建设，加快推进不同平台之间的信息互联互通，完善平台功能，改善用户体验。强化政府平台监测服务，开展有序充电、车网互动、智能运维等新技术应用，打造区域性示范样板。</w:t>
      </w:r>
    </w:p>
    <w:p>
      <w:pPr>
        <w:ind w:firstLine="560"/>
        <w:rPr>
          <w:rFonts w:hint="eastAsia" w:cs="仿宋_GB2312"/>
          <w:b/>
          <w:bCs/>
          <w:szCs w:val="28"/>
        </w:rPr>
      </w:pPr>
      <w:r>
        <w:rPr>
          <w:rFonts w:cs="仿宋_GB2312"/>
          <w:b/>
          <w:bCs/>
          <w:szCs w:val="28"/>
        </w:rPr>
        <w:t>(6)推广车网互动新技术</w:t>
      </w:r>
    </w:p>
    <w:p>
      <w:pPr>
        <w:ind w:firstLine="560"/>
        <w:rPr>
          <w:rFonts w:hint="eastAsia" w:cs="仿宋_GB2312"/>
          <w:szCs w:val="28"/>
        </w:rPr>
      </w:pPr>
      <w:r>
        <w:rPr>
          <w:rFonts w:hint="eastAsia" w:cs="仿宋_GB2312"/>
          <w:szCs w:val="28"/>
        </w:rPr>
        <w:t>促进电动汽车与电网</w:t>
      </w:r>
      <w:r>
        <w:rPr>
          <w:rFonts w:cs="仿宋_GB2312"/>
          <w:szCs w:val="28"/>
        </w:rPr>
        <w:t>(V2G)能量高效互动，优化电力生产布局，提升电力系统应急调节能力、发电侧电力调峰能力，鼓励储能调峰项目建设。支持电网企业联合整车企业打造电动汽车与智慧能源融合创新平台，探索电动汽车参与电力现货市场的实施路径，研究完善电动汽车消费和储放绿色电力的交易和调度机制。</w:t>
      </w:r>
    </w:p>
    <w:p>
      <w:pPr>
        <w:ind w:firstLine="560"/>
        <w:rPr>
          <w:rFonts w:hint="eastAsia" w:cs="仿宋_GB2312"/>
          <w:b/>
          <w:bCs/>
          <w:szCs w:val="28"/>
        </w:rPr>
      </w:pPr>
      <w:r>
        <w:rPr>
          <w:rFonts w:cs="仿宋_GB2312"/>
          <w:b/>
          <w:bCs/>
          <w:szCs w:val="28"/>
        </w:rPr>
        <w:t>(7)创新商业合作模式</w:t>
      </w:r>
    </w:p>
    <w:p>
      <w:pPr>
        <w:ind w:firstLine="560"/>
        <w:rPr>
          <w:rFonts w:hint="eastAsia" w:cs="仿宋_GB2312"/>
          <w:szCs w:val="28"/>
        </w:rPr>
      </w:pPr>
      <w:r>
        <w:rPr>
          <w:rFonts w:hint="eastAsia" w:cs="仿宋_GB2312"/>
          <w:szCs w:val="28"/>
        </w:rPr>
        <w:t>充分利用融资租赁、特许经营权质押等融资方式，推进商业模式的创新，积极拓展充电设施增值服务，提高充电设施运营企业可持续发展能力。整合充电设施建设运营资源，探索集约化建设运营商业模式。</w:t>
      </w:r>
    </w:p>
    <w:p>
      <w:pPr>
        <w:pStyle w:val="2"/>
      </w:pPr>
      <w:r>
        <w:t>建设投资与成效分析</w:t>
      </w:r>
      <w:bookmarkEnd w:id="79"/>
      <w:bookmarkEnd w:id="80"/>
    </w:p>
    <w:p>
      <w:pPr>
        <w:pStyle w:val="3"/>
      </w:pPr>
      <w:bookmarkStart w:id="81" w:name="_Toc94186601"/>
      <w:bookmarkStart w:id="82" w:name="_Toc20760"/>
      <w:r>
        <w:rPr>
          <w:color w:val="000000" w:themeColor="text1"/>
          <w14:textFill>
            <w14:solidFill>
              <w14:schemeClr w14:val="tx1"/>
            </w14:solidFill>
          </w14:textFill>
        </w:rPr>
        <w:t>建设规模</w:t>
      </w:r>
      <w:bookmarkEnd w:id="81"/>
      <w:bookmarkEnd w:id="82"/>
    </w:p>
    <w:p>
      <w:pPr>
        <w:ind w:firstLine="560"/>
        <w:rPr>
          <w:rFonts w:hint="eastAsia"/>
        </w:rPr>
      </w:pPr>
      <w:bookmarkStart w:id="83" w:name="_Toc94186602"/>
      <w:bookmarkStart w:id="84" w:name="_Toc66734754"/>
      <w:r>
        <w:t>2024-2028</w:t>
      </w:r>
      <w:r>
        <w:rPr>
          <w:rFonts w:hint="eastAsia"/>
        </w:rPr>
        <w:t>年期间，桓仁满族自治县规划新建充电桩220台（充电枪220个），其中公共充电桩181台（充电枪181个），专用充电桩39台（充电枪39个）。</w:t>
      </w:r>
    </w:p>
    <w:p>
      <w:pPr>
        <w:ind w:firstLine="560"/>
        <w:rPr>
          <w:rFonts w:hint="eastAsia"/>
        </w:rPr>
      </w:pPr>
      <w:r>
        <w:rPr>
          <w:rFonts w:hint="eastAsia"/>
        </w:rPr>
        <w:t>规划建设公用充电桩总功率10860kW，全部为直流充电桩，规划建设专用充电桩总功率962</w:t>
      </w:r>
      <w:r>
        <w:t>kW</w:t>
      </w:r>
      <w:r>
        <w:rPr>
          <w:rFonts w:hint="eastAsia"/>
        </w:rPr>
        <w:t>，其中直流桩13台（充电枪13个），交流桩26台（充电枪26个），未细分逐年建设规模。</w:t>
      </w:r>
    </w:p>
    <w:p>
      <w:pPr>
        <w:ind w:firstLine="560"/>
        <w:rPr>
          <w:rFonts w:hint="eastAsia" w:cs="仿宋_GB2312"/>
          <w:szCs w:val="28"/>
        </w:rPr>
      </w:pPr>
      <w:r>
        <w:rPr>
          <w:rFonts w:cs="仿宋_GB2312"/>
          <w:szCs w:val="28"/>
        </w:rPr>
        <w:t>充电设施各年度新建规模详见下表。</w:t>
      </w:r>
    </w:p>
    <w:p>
      <w:pPr>
        <w:pStyle w:val="7"/>
      </w:pPr>
      <w:r>
        <w:rPr>
          <w:szCs w:val="24"/>
        </w:rPr>
        <w:t>充电设施</w:t>
      </w:r>
      <w:r>
        <w:rPr>
          <w:rFonts w:hint="eastAsia"/>
          <w:szCs w:val="24"/>
        </w:rPr>
        <w:t>建设</w:t>
      </w:r>
      <w:r>
        <w:rPr>
          <w:szCs w:val="24"/>
        </w:rPr>
        <w:t>规模</w:t>
      </w:r>
    </w:p>
    <w:p>
      <w:pPr>
        <w:pStyle w:val="133"/>
        <w:spacing w:line="240" w:lineRule="auto"/>
        <w:ind w:left="921" w:hanging="361"/>
        <w:jc w:val="right"/>
        <w:rPr>
          <w:b/>
          <w:bCs/>
        </w:rPr>
      </w:pPr>
      <w:r>
        <w:rPr>
          <w:rFonts w:hint="eastAsia"/>
          <w:b/>
          <w:bCs/>
        </w:rPr>
        <w:t>单位：台、kW</w:t>
      </w:r>
    </w:p>
    <w:tbl>
      <w:tblPr>
        <w:tblStyle w:val="30"/>
        <w:tblW w:w="558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941"/>
        <w:gridCol w:w="1172"/>
        <w:gridCol w:w="898"/>
        <w:gridCol w:w="898"/>
        <w:gridCol w:w="898"/>
        <w:gridCol w:w="902"/>
        <w:gridCol w:w="913"/>
        <w:gridCol w:w="902"/>
        <w:gridCol w:w="899"/>
        <w:gridCol w:w="89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505" w:type="pct"/>
            <w:vMerge w:val="restar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设备类型</w:t>
            </w:r>
          </w:p>
        </w:tc>
        <w:tc>
          <w:tcPr>
            <w:tcW w:w="629" w:type="pct"/>
            <w:vMerge w:val="restar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规模</w:t>
            </w:r>
          </w:p>
        </w:tc>
        <w:tc>
          <w:tcPr>
            <w:tcW w:w="2904" w:type="pct"/>
            <w:gridSpan w:val="6"/>
            <w:shd w:val="clear" w:color="auto" w:fill="D9D9D9"/>
            <w:noWrap/>
            <w:tcMar>
              <w:top w:w="12" w:type="dxa"/>
              <w:left w:w="12" w:type="dxa"/>
              <w:right w:w="12" w:type="dxa"/>
            </w:tcMar>
            <w:vAlign w:val="center"/>
          </w:tcPr>
          <w:p>
            <w:pPr>
              <w:spacing w:line="240" w:lineRule="auto"/>
              <w:jc w:val="center"/>
              <w:rPr>
                <w:rFonts w:hint="eastAsia"/>
                <w:b/>
                <w:sz w:val="19"/>
              </w:rPr>
            </w:pPr>
            <w:r>
              <w:rPr>
                <w:rFonts w:hint="eastAsia"/>
                <w:b/>
                <w:sz w:val="19"/>
              </w:rPr>
              <w:t>公用</w:t>
            </w:r>
          </w:p>
        </w:tc>
        <w:tc>
          <w:tcPr>
            <w:tcW w:w="482" w:type="pct"/>
            <w:vMerge w:val="restart"/>
            <w:shd w:val="clear" w:color="auto" w:fill="D9D9D9"/>
            <w:vAlign w:val="center"/>
          </w:tcPr>
          <w:p>
            <w:pPr>
              <w:spacing w:line="240" w:lineRule="auto"/>
              <w:jc w:val="center"/>
              <w:rPr>
                <w:rFonts w:hint="eastAsia"/>
                <w:b/>
                <w:sz w:val="19"/>
              </w:rPr>
            </w:pPr>
            <w:r>
              <w:rPr>
                <w:rFonts w:hint="eastAsia"/>
                <w:b/>
                <w:sz w:val="19"/>
              </w:rPr>
              <w:t>专用</w:t>
            </w:r>
          </w:p>
        </w:tc>
        <w:tc>
          <w:tcPr>
            <w:tcW w:w="479" w:type="pct"/>
            <w:vMerge w:val="restart"/>
            <w:shd w:val="clear" w:color="auto" w:fill="D9D9D9"/>
            <w:vAlign w:val="center"/>
          </w:tcPr>
          <w:p>
            <w:pPr>
              <w:spacing w:line="240" w:lineRule="auto"/>
              <w:jc w:val="center"/>
              <w:rPr>
                <w:rFonts w:hint="eastAsia"/>
                <w:b/>
                <w:sz w:val="19"/>
              </w:rPr>
            </w:pPr>
            <w:r>
              <w:rPr>
                <w:rFonts w:hint="eastAsia"/>
                <w:b/>
                <w:sz w:val="19"/>
              </w:rPr>
              <w:t>合计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505" w:type="pct"/>
            <w:vMerge w:val="continue"/>
            <w:shd w:val="clear" w:color="auto" w:fill="D9D9D9"/>
            <w:noWrap/>
            <w:tcMar>
              <w:top w:w="12" w:type="dxa"/>
              <w:left w:w="12" w:type="dxa"/>
              <w:right w:w="12" w:type="dxa"/>
            </w:tcMar>
            <w:vAlign w:val="center"/>
          </w:tcPr>
          <w:p>
            <w:pPr>
              <w:spacing w:line="240" w:lineRule="auto"/>
              <w:jc w:val="center"/>
              <w:rPr>
                <w:rFonts w:hint="eastAsia"/>
                <w:b/>
                <w:sz w:val="19"/>
              </w:rPr>
            </w:pPr>
          </w:p>
        </w:tc>
        <w:tc>
          <w:tcPr>
            <w:tcW w:w="629" w:type="pct"/>
            <w:vMerge w:val="continue"/>
            <w:shd w:val="clear" w:color="auto" w:fill="D9D9D9"/>
            <w:noWrap/>
            <w:tcMar>
              <w:top w:w="12" w:type="dxa"/>
              <w:left w:w="12" w:type="dxa"/>
              <w:right w:w="12" w:type="dxa"/>
            </w:tcMar>
            <w:vAlign w:val="center"/>
          </w:tcPr>
          <w:p>
            <w:pPr>
              <w:spacing w:line="240" w:lineRule="auto"/>
              <w:jc w:val="center"/>
              <w:rPr>
                <w:rFonts w:hint="eastAsia"/>
                <w:b/>
                <w:sz w:val="19"/>
              </w:rPr>
            </w:pPr>
          </w:p>
        </w:tc>
        <w:tc>
          <w:tcPr>
            <w:tcW w:w="482"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2024</w:t>
            </w:r>
          </w:p>
        </w:tc>
        <w:tc>
          <w:tcPr>
            <w:tcW w:w="482"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2025</w:t>
            </w:r>
          </w:p>
        </w:tc>
        <w:tc>
          <w:tcPr>
            <w:tcW w:w="482"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2026</w:t>
            </w:r>
          </w:p>
        </w:tc>
        <w:tc>
          <w:tcPr>
            <w:tcW w:w="484"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2027</w:t>
            </w:r>
          </w:p>
        </w:tc>
        <w:tc>
          <w:tcPr>
            <w:tcW w:w="490"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2028</w:t>
            </w:r>
          </w:p>
        </w:tc>
        <w:tc>
          <w:tcPr>
            <w:tcW w:w="484" w:type="pct"/>
            <w:shd w:val="clear" w:color="auto" w:fill="D9D9D9"/>
            <w:vAlign w:val="center"/>
          </w:tcPr>
          <w:p>
            <w:pPr>
              <w:spacing w:line="240" w:lineRule="auto"/>
              <w:jc w:val="center"/>
              <w:rPr>
                <w:rFonts w:hint="eastAsia"/>
                <w:b/>
                <w:sz w:val="19"/>
              </w:rPr>
            </w:pPr>
            <w:r>
              <w:rPr>
                <w:b/>
                <w:sz w:val="19"/>
              </w:rPr>
              <w:t>合计</w:t>
            </w:r>
          </w:p>
        </w:tc>
        <w:tc>
          <w:tcPr>
            <w:tcW w:w="482" w:type="pct"/>
            <w:vMerge w:val="continue"/>
            <w:shd w:val="clear" w:color="auto" w:fill="D9D9D9"/>
            <w:vAlign w:val="center"/>
          </w:tcPr>
          <w:p>
            <w:pPr>
              <w:spacing w:line="240" w:lineRule="auto"/>
              <w:jc w:val="center"/>
              <w:rPr>
                <w:rFonts w:hint="eastAsia"/>
                <w:b/>
                <w:sz w:val="19"/>
              </w:rPr>
            </w:pPr>
          </w:p>
        </w:tc>
        <w:tc>
          <w:tcPr>
            <w:tcW w:w="479" w:type="pct"/>
            <w:vMerge w:val="continue"/>
            <w:shd w:val="clear" w:color="auto" w:fill="D9D9D9"/>
            <w:vAlign w:val="center"/>
          </w:tcPr>
          <w:p>
            <w:pPr>
              <w:spacing w:line="240" w:lineRule="auto"/>
              <w:jc w:val="center"/>
              <w:rPr>
                <w:rFonts w:hint="eastAsia"/>
                <w:b/>
                <w:sz w:val="19"/>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05" w:type="pct"/>
            <w:vMerge w:val="restart"/>
            <w:shd w:val="clear" w:color="auto" w:fill="auto"/>
            <w:tcMar>
              <w:top w:w="12" w:type="dxa"/>
              <w:left w:w="12" w:type="dxa"/>
              <w:right w:w="12" w:type="dxa"/>
            </w:tcMar>
            <w:vAlign w:val="center"/>
          </w:tcPr>
          <w:p>
            <w:pPr>
              <w:spacing w:line="240" w:lineRule="auto"/>
              <w:jc w:val="center"/>
              <w:rPr>
                <w:rFonts w:hint="eastAsia"/>
                <w:sz w:val="19"/>
              </w:rPr>
            </w:pPr>
            <w:r>
              <w:rPr>
                <w:sz w:val="19"/>
              </w:rPr>
              <w:t>直流桩</w:t>
            </w:r>
          </w:p>
        </w:tc>
        <w:tc>
          <w:tcPr>
            <w:tcW w:w="629"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数量</w:t>
            </w:r>
          </w:p>
        </w:tc>
        <w:tc>
          <w:tcPr>
            <w:tcW w:w="482"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33</w:t>
            </w:r>
          </w:p>
        </w:tc>
        <w:tc>
          <w:tcPr>
            <w:tcW w:w="482"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33</w:t>
            </w:r>
          </w:p>
        </w:tc>
        <w:tc>
          <w:tcPr>
            <w:tcW w:w="482"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ascii="Times New Roman" w:hAnsi="Times New Roman"/>
                <w:sz w:val="19"/>
                <w:szCs w:val="19"/>
              </w:rPr>
              <w:t>42</w:t>
            </w:r>
          </w:p>
        </w:tc>
        <w:tc>
          <w:tcPr>
            <w:tcW w:w="484"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30</w:t>
            </w:r>
          </w:p>
        </w:tc>
        <w:tc>
          <w:tcPr>
            <w:tcW w:w="490"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43</w:t>
            </w:r>
          </w:p>
        </w:tc>
        <w:tc>
          <w:tcPr>
            <w:tcW w:w="484" w:type="pct"/>
            <w:vAlign w:val="center"/>
          </w:tcPr>
          <w:p>
            <w:pPr>
              <w:spacing w:line="240" w:lineRule="auto"/>
              <w:jc w:val="center"/>
              <w:rPr>
                <w:rFonts w:hint="eastAsia"/>
                <w:sz w:val="19"/>
              </w:rPr>
            </w:pPr>
            <w:r>
              <w:rPr>
                <w:rFonts w:hint="eastAsia" w:ascii="Times New Roman" w:hAnsi="Times New Roman"/>
                <w:sz w:val="19"/>
                <w:szCs w:val="19"/>
              </w:rPr>
              <w:t>181</w:t>
            </w:r>
          </w:p>
        </w:tc>
        <w:tc>
          <w:tcPr>
            <w:tcW w:w="482" w:type="pct"/>
            <w:vAlign w:val="center"/>
          </w:tcPr>
          <w:p>
            <w:pPr>
              <w:spacing w:line="240" w:lineRule="auto"/>
              <w:jc w:val="center"/>
              <w:rPr>
                <w:rFonts w:hint="eastAsia"/>
                <w:sz w:val="19"/>
              </w:rPr>
            </w:pPr>
            <w:r>
              <w:rPr>
                <w:rFonts w:ascii="Times New Roman" w:hAnsi="Times New Roman"/>
                <w:sz w:val="19"/>
                <w:szCs w:val="19"/>
              </w:rPr>
              <w:t>13</w:t>
            </w:r>
          </w:p>
        </w:tc>
        <w:tc>
          <w:tcPr>
            <w:tcW w:w="479" w:type="pct"/>
            <w:vAlign w:val="center"/>
          </w:tcPr>
          <w:p>
            <w:pPr>
              <w:spacing w:line="240" w:lineRule="auto"/>
              <w:jc w:val="center"/>
              <w:rPr>
                <w:rFonts w:ascii="Times New Roman" w:hAnsi="Times New Roman"/>
                <w:sz w:val="19"/>
                <w:szCs w:val="19"/>
              </w:rPr>
            </w:pPr>
            <w:r>
              <w:rPr>
                <w:rFonts w:hint="eastAsia" w:ascii="Times New Roman" w:hAnsi="Times New Roman"/>
                <w:sz w:val="19"/>
                <w:szCs w:val="19"/>
              </w:rPr>
              <w:t>194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05" w:type="pct"/>
            <w:vMerge w:val="continue"/>
            <w:shd w:val="clear" w:color="auto" w:fill="auto"/>
            <w:tcMar>
              <w:top w:w="12" w:type="dxa"/>
              <w:left w:w="12" w:type="dxa"/>
              <w:right w:w="12" w:type="dxa"/>
            </w:tcMar>
            <w:vAlign w:val="center"/>
          </w:tcPr>
          <w:p>
            <w:pPr>
              <w:spacing w:line="240" w:lineRule="auto"/>
              <w:jc w:val="center"/>
              <w:rPr>
                <w:rFonts w:hint="eastAsia"/>
                <w:sz w:val="19"/>
              </w:rPr>
            </w:pPr>
          </w:p>
        </w:tc>
        <w:tc>
          <w:tcPr>
            <w:tcW w:w="62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充电枪（个）</w:t>
            </w:r>
          </w:p>
        </w:tc>
        <w:tc>
          <w:tcPr>
            <w:tcW w:w="482"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33</w:t>
            </w:r>
          </w:p>
        </w:tc>
        <w:tc>
          <w:tcPr>
            <w:tcW w:w="482"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33</w:t>
            </w:r>
          </w:p>
        </w:tc>
        <w:tc>
          <w:tcPr>
            <w:tcW w:w="482"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ascii="Times New Roman" w:hAnsi="Times New Roman"/>
                <w:sz w:val="19"/>
                <w:szCs w:val="19"/>
              </w:rPr>
              <w:t>42</w:t>
            </w:r>
          </w:p>
        </w:tc>
        <w:tc>
          <w:tcPr>
            <w:tcW w:w="484"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30</w:t>
            </w:r>
          </w:p>
        </w:tc>
        <w:tc>
          <w:tcPr>
            <w:tcW w:w="490"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43</w:t>
            </w:r>
          </w:p>
        </w:tc>
        <w:tc>
          <w:tcPr>
            <w:tcW w:w="484" w:type="pct"/>
            <w:vAlign w:val="center"/>
          </w:tcPr>
          <w:p>
            <w:pPr>
              <w:spacing w:line="240" w:lineRule="auto"/>
              <w:jc w:val="center"/>
              <w:rPr>
                <w:rFonts w:hint="eastAsia"/>
                <w:sz w:val="19"/>
              </w:rPr>
            </w:pPr>
            <w:r>
              <w:rPr>
                <w:rFonts w:hint="eastAsia" w:ascii="Times New Roman" w:hAnsi="Times New Roman"/>
                <w:sz w:val="19"/>
                <w:szCs w:val="19"/>
              </w:rPr>
              <w:t>181</w:t>
            </w:r>
          </w:p>
        </w:tc>
        <w:tc>
          <w:tcPr>
            <w:tcW w:w="482" w:type="pct"/>
            <w:vAlign w:val="center"/>
          </w:tcPr>
          <w:p>
            <w:pPr>
              <w:spacing w:line="240" w:lineRule="auto"/>
              <w:jc w:val="center"/>
              <w:rPr>
                <w:rFonts w:hint="eastAsia"/>
                <w:sz w:val="19"/>
              </w:rPr>
            </w:pPr>
            <w:r>
              <w:rPr>
                <w:rFonts w:ascii="Times New Roman" w:hAnsi="Times New Roman"/>
                <w:sz w:val="19"/>
                <w:szCs w:val="19"/>
              </w:rPr>
              <w:t>13</w:t>
            </w:r>
          </w:p>
        </w:tc>
        <w:tc>
          <w:tcPr>
            <w:tcW w:w="479" w:type="pct"/>
            <w:vAlign w:val="center"/>
          </w:tcPr>
          <w:p>
            <w:pPr>
              <w:spacing w:line="240" w:lineRule="auto"/>
              <w:jc w:val="center"/>
              <w:rPr>
                <w:rFonts w:ascii="Times New Roman" w:hAnsi="Times New Roman"/>
                <w:sz w:val="19"/>
                <w:szCs w:val="19"/>
              </w:rPr>
            </w:pPr>
            <w:r>
              <w:rPr>
                <w:rFonts w:hint="eastAsia" w:ascii="Times New Roman" w:hAnsi="Times New Roman"/>
                <w:sz w:val="19"/>
                <w:szCs w:val="19"/>
              </w:rPr>
              <w:t>194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05" w:type="pct"/>
            <w:vMerge w:val="continue"/>
            <w:shd w:val="clear" w:color="auto" w:fill="auto"/>
            <w:tcMar>
              <w:top w:w="12" w:type="dxa"/>
              <w:left w:w="12" w:type="dxa"/>
              <w:right w:w="12" w:type="dxa"/>
            </w:tcMar>
            <w:vAlign w:val="center"/>
          </w:tcPr>
          <w:p>
            <w:pPr>
              <w:spacing w:line="240" w:lineRule="auto"/>
              <w:jc w:val="center"/>
              <w:rPr>
                <w:rFonts w:hint="eastAsia"/>
                <w:sz w:val="19"/>
              </w:rPr>
            </w:pPr>
          </w:p>
        </w:tc>
        <w:tc>
          <w:tcPr>
            <w:tcW w:w="629"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功率</w:t>
            </w:r>
          </w:p>
        </w:tc>
        <w:tc>
          <w:tcPr>
            <w:tcW w:w="482"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1980</w:t>
            </w:r>
          </w:p>
        </w:tc>
        <w:tc>
          <w:tcPr>
            <w:tcW w:w="482"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1980</w:t>
            </w:r>
          </w:p>
        </w:tc>
        <w:tc>
          <w:tcPr>
            <w:tcW w:w="482"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ascii="Times New Roman" w:hAnsi="Times New Roman"/>
                <w:sz w:val="19"/>
                <w:szCs w:val="19"/>
              </w:rPr>
              <w:t>2520</w:t>
            </w:r>
          </w:p>
        </w:tc>
        <w:tc>
          <w:tcPr>
            <w:tcW w:w="484"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1800</w:t>
            </w:r>
          </w:p>
        </w:tc>
        <w:tc>
          <w:tcPr>
            <w:tcW w:w="490"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2580</w:t>
            </w:r>
          </w:p>
        </w:tc>
        <w:tc>
          <w:tcPr>
            <w:tcW w:w="484" w:type="pct"/>
            <w:vAlign w:val="center"/>
          </w:tcPr>
          <w:p>
            <w:pPr>
              <w:spacing w:line="240" w:lineRule="auto"/>
              <w:jc w:val="center"/>
              <w:rPr>
                <w:rFonts w:hint="eastAsia"/>
                <w:sz w:val="19"/>
              </w:rPr>
            </w:pPr>
            <w:r>
              <w:rPr>
                <w:rFonts w:hint="eastAsia" w:ascii="Times New Roman" w:hAnsi="Times New Roman"/>
                <w:sz w:val="19"/>
                <w:szCs w:val="19"/>
              </w:rPr>
              <w:t>10860</w:t>
            </w:r>
          </w:p>
        </w:tc>
        <w:tc>
          <w:tcPr>
            <w:tcW w:w="482" w:type="pct"/>
            <w:vAlign w:val="center"/>
          </w:tcPr>
          <w:p>
            <w:pPr>
              <w:spacing w:line="240" w:lineRule="auto"/>
              <w:jc w:val="center"/>
              <w:rPr>
                <w:rFonts w:hint="eastAsia"/>
                <w:sz w:val="19"/>
              </w:rPr>
            </w:pPr>
            <w:r>
              <w:rPr>
                <w:rFonts w:ascii="Times New Roman" w:hAnsi="Times New Roman"/>
                <w:sz w:val="19"/>
                <w:szCs w:val="19"/>
              </w:rPr>
              <w:t>780</w:t>
            </w:r>
          </w:p>
        </w:tc>
        <w:tc>
          <w:tcPr>
            <w:tcW w:w="479" w:type="pct"/>
            <w:vAlign w:val="center"/>
          </w:tcPr>
          <w:p>
            <w:pPr>
              <w:spacing w:line="240" w:lineRule="auto"/>
              <w:jc w:val="center"/>
              <w:rPr>
                <w:rFonts w:ascii="Times New Roman" w:hAnsi="Times New Roman"/>
                <w:sz w:val="19"/>
                <w:szCs w:val="19"/>
              </w:rPr>
            </w:pPr>
            <w:r>
              <w:rPr>
                <w:rFonts w:hint="eastAsia" w:ascii="Times New Roman" w:hAnsi="Times New Roman"/>
                <w:sz w:val="19"/>
                <w:szCs w:val="19"/>
              </w:rPr>
              <w:t>10951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05" w:type="pct"/>
            <w:vMerge w:val="restart"/>
            <w:shd w:val="clear" w:color="auto" w:fill="auto"/>
            <w:tcMar>
              <w:top w:w="12" w:type="dxa"/>
              <w:left w:w="12" w:type="dxa"/>
              <w:right w:w="12" w:type="dxa"/>
            </w:tcMar>
            <w:vAlign w:val="center"/>
          </w:tcPr>
          <w:p>
            <w:pPr>
              <w:spacing w:line="240" w:lineRule="auto"/>
              <w:jc w:val="center"/>
              <w:rPr>
                <w:rFonts w:hint="eastAsia"/>
                <w:sz w:val="19"/>
              </w:rPr>
            </w:pPr>
            <w:r>
              <w:rPr>
                <w:sz w:val="19"/>
              </w:rPr>
              <w:t>交流桩</w:t>
            </w:r>
          </w:p>
        </w:tc>
        <w:tc>
          <w:tcPr>
            <w:tcW w:w="629"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数量</w:t>
            </w:r>
          </w:p>
        </w:tc>
        <w:tc>
          <w:tcPr>
            <w:tcW w:w="482"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0</w:t>
            </w:r>
          </w:p>
        </w:tc>
        <w:tc>
          <w:tcPr>
            <w:tcW w:w="482"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0</w:t>
            </w:r>
          </w:p>
        </w:tc>
        <w:tc>
          <w:tcPr>
            <w:tcW w:w="482"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0</w:t>
            </w:r>
          </w:p>
        </w:tc>
        <w:tc>
          <w:tcPr>
            <w:tcW w:w="484"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0</w:t>
            </w:r>
          </w:p>
        </w:tc>
        <w:tc>
          <w:tcPr>
            <w:tcW w:w="490"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0</w:t>
            </w:r>
          </w:p>
        </w:tc>
        <w:tc>
          <w:tcPr>
            <w:tcW w:w="484" w:type="pct"/>
            <w:vAlign w:val="center"/>
          </w:tcPr>
          <w:p>
            <w:pPr>
              <w:spacing w:line="240" w:lineRule="auto"/>
              <w:jc w:val="center"/>
              <w:rPr>
                <w:rFonts w:hint="eastAsia"/>
                <w:sz w:val="19"/>
              </w:rPr>
            </w:pPr>
            <w:r>
              <w:rPr>
                <w:rFonts w:ascii="Times New Roman" w:hAnsi="Times New Roman"/>
                <w:sz w:val="19"/>
                <w:szCs w:val="19"/>
              </w:rPr>
              <w:t>0</w:t>
            </w:r>
          </w:p>
        </w:tc>
        <w:tc>
          <w:tcPr>
            <w:tcW w:w="482" w:type="pct"/>
            <w:vAlign w:val="center"/>
          </w:tcPr>
          <w:p>
            <w:pPr>
              <w:spacing w:line="240" w:lineRule="auto"/>
              <w:jc w:val="center"/>
              <w:rPr>
                <w:rFonts w:hint="eastAsia"/>
                <w:sz w:val="19"/>
              </w:rPr>
            </w:pPr>
            <w:r>
              <w:rPr>
                <w:rFonts w:ascii="Times New Roman" w:hAnsi="Times New Roman"/>
                <w:sz w:val="19"/>
                <w:szCs w:val="19"/>
              </w:rPr>
              <w:t>26</w:t>
            </w:r>
          </w:p>
        </w:tc>
        <w:tc>
          <w:tcPr>
            <w:tcW w:w="479" w:type="pct"/>
            <w:vAlign w:val="center"/>
          </w:tcPr>
          <w:p>
            <w:pPr>
              <w:spacing w:line="240" w:lineRule="auto"/>
              <w:jc w:val="center"/>
              <w:rPr>
                <w:rFonts w:ascii="Times New Roman" w:hAnsi="Times New Roman"/>
                <w:sz w:val="19"/>
                <w:szCs w:val="19"/>
              </w:rPr>
            </w:pPr>
            <w:r>
              <w:rPr>
                <w:rFonts w:ascii="Times New Roman" w:hAnsi="Times New Roman"/>
                <w:sz w:val="19"/>
                <w:szCs w:val="19"/>
              </w:rPr>
              <w:t>26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05" w:type="pct"/>
            <w:vMerge w:val="continue"/>
            <w:shd w:val="clear" w:color="auto" w:fill="auto"/>
            <w:tcMar>
              <w:top w:w="12" w:type="dxa"/>
              <w:left w:w="12" w:type="dxa"/>
              <w:right w:w="12" w:type="dxa"/>
            </w:tcMar>
            <w:vAlign w:val="center"/>
          </w:tcPr>
          <w:p>
            <w:pPr>
              <w:spacing w:line="240" w:lineRule="auto"/>
              <w:jc w:val="center"/>
              <w:rPr>
                <w:rFonts w:hint="eastAsia"/>
                <w:sz w:val="19"/>
              </w:rPr>
            </w:pPr>
          </w:p>
        </w:tc>
        <w:tc>
          <w:tcPr>
            <w:tcW w:w="62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充电枪（个）</w:t>
            </w:r>
          </w:p>
        </w:tc>
        <w:tc>
          <w:tcPr>
            <w:tcW w:w="482"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0</w:t>
            </w:r>
          </w:p>
        </w:tc>
        <w:tc>
          <w:tcPr>
            <w:tcW w:w="482"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0</w:t>
            </w:r>
          </w:p>
        </w:tc>
        <w:tc>
          <w:tcPr>
            <w:tcW w:w="482"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0</w:t>
            </w:r>
          </w:p>
        </w:tc>
        <w:tc>
          <w:tcPr>
            <w:tcW w:w="484"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0</w:t>
            </w:r>
          </w:p>
        </w:tc>
        <w:tc>
          <w:tcPr>
            <w:tcW w:w="490"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0</w:t>
            </w:r>
          </w:p>
        </w:tc>
        <w:tc>
          <w:tcPr>
            <w:tcW w:w="484" w:type="pct"/>
            <w:vAlign w:val="center"/>
          </w:tcPr>
          <w:p>
            <w:pPr>
              <w:spacing w:line="240" w:lineRule="auto"/>
              <w:jc w:val="center"/>
              <w:rPr>
                <w:rFonts w:hint="eastAsia"/>
                <w:sz w:val="19"/>
              </w:rPr>
            </w:pPr>
            <w:r>
              <w:rPr>
                <w:rFonts w:ascii="Times New Roman" w:hAnsi="Times New Roman"/>
                <w:sz w:val="19"/>
                <w:szCs w:val="19"/>
              </w:rPr>
              <w:t>0</w:t>
            </w:r>
          </w:p>
        </w:tc>
        <w:tc>
          <w:tcPr>
            <w:tcW w:w="482" w:type="pct"/>
            <w:vAlign w:val="center"/>
          </w:tcPr>
          <w:p>
            <w:pPr>
              <w:spacing w:line="240" w:lineRule="auto"/>
              <w:jc w:val="center"/>
              <w:rPr>
                <w:rFonts w:hint="eastAsia"/>
                <w:sz w:val="19"/>
              </w:rPr>
            </w:pPr>
            <w:r>
              <w:rPr>
                <w:rFonts w:ascii="Times New Roman" w:hAnsi="Times New Roman"/>
                <w:sz w:val="19"/>
                <w:szCs w:val="19"/>
              </w:rPr>
              <w:t>26</w:t>
            </w:r>
          </w:p>
        </w:tc>
        <w:tc>
          <w:tcPr>
            <w:tcW w:w="479" w:type="pct"/>
            <w:vAlign w:val="center"/>
          </w:tcPr>
          <w:p>
            <w:pPr>
              <w:spacing w:line="240" w:lineRule="auto"/>
              <w:jc w:val="center"/>
              <w:rPr>
                <w:rFonts w:ascii="Times New Roman" w:hAnsi="Times New Roman"/>
                <w:sz w:val="19"/>
                <w:szCs w:val="19"/>
              </w:rPr>
            </w:pPr>
            <w:r>
              <w:rPr>
                <w:rFonts w:ascii="Times New Roman" w:hAnsi="Times New Roman"/>
                <w:sz w:val="19"/>
                <w:szCs w:val="19"/>
              </w:rPr>
              <w:t>26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05" w:type="pct"/>
            <w:vMerge w:val="continue"/>
            <w:shd w:val="clear" w:color="auto" w:fill="auto"/>
            <w:tcMar>
              <w:top w:w="12" w:type="dxa"/>
              <w:left w:w="12" w:type="dxa"/>
              <w:right w:w="12" w:type="dxa"/>
            </w:tcMar>
            <w:vAlign w:val="center"/>
          </w:tcPr>
          <w:p>
            <w:pPr>
              <w:spacing w:line="240" w:lineRule="auto"/>
              <w:jc w:val="center"/>
              <w:rPr>
                <w:rFonts w:hint="eastAsia"/>
                <w:sz w:val="19"/>
              </w:rPr>
            </w:pPr>
          </w:p>
        </w:tc>
        <w:tc>
          <w:tcPr>
            <w:tcW w:w="629"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功率</w:t>
            </w:r>
          </w:p>
        </w:tc>
        <w:tc>
          <w:tcPr>
            <w:tcW w:w="482"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0</w:t>
            </w:r>
          </w:p>
        </w:tc>
        <w:tc>
          <w:tcPr>
            <w:tcW w:w="482"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0</w:t>
            </w:r>
          </w:p>
        </w:tc>
        <w:tc>
          <w:tcPr>
            <w:tcW w:w="482"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0</w:t>
            </w:r>
          </w:p>
        </w:tc>
        <w:tc>
          <w:tcPr>
            <w:tcW w:w="484"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0</w:t>
            </w:r>
          </w:p>
        </w:tc>
        <w:tc>
          <w:tcPr>
            <w:tcW w:w="490"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0</w:t>
            </w:r>
          </w:p>
        </w:tc>
        <w:tc>
          <w:tcPr>
            <w:tcW w:w="484" w:type="pct"/>
            <w:vAlign w:val="center"/>
          </w:tcPr>
          <w:p>
            <w:pPr>
              <w:spacing w:line="240" w:lineRule="auto"/>
              <w:jc w:val="center"/>
              <w:rPr>
                <w:rFonts w:hint="eastAsia"/>
                <w:sz w:val="19"/>
              </w:rPr>
            </w:pPr>
            <w:r>
              <w:rPr>
                <w:rFonts w:ascii="Times New Roman" w:hAnsi="Times New Roman"/>
                <w:sz w:val="19"/>
                <w:szCs w:val="19"/>
              </w:rPr>
              <w:t>0</w:t>
            </w:r>
          </w:p>
        </w:tc>
        <w:tc>
          <w:tcPr>
            <w:tcW w:w="482" w:type="pct"/>
            <w:vAlign w:val="center"/>
          </w:tcPr>
          <w:p>
            <w:pPr>
              <w:spacing w:line="240" w:lineRule="auto"/>
              <w:jc w:val="center"/>
              <w:rPr>
                <w:rFonts w:hint="eastAsia"/>
                <w:sz w:val="19"/>
              </w:rPr>
            </w:pPr>
            <w:r>
              <w:rPr>
                <w:rFonts w:ascii="Times New Roman" w:hAnsi="Times New Roman"/>
                <w:sz w:val="19"/>
                <w:szCs w:val="19"/>
              </w:rPr>
              <w:t>182</w:t>
            </w:r>
          </w:p>
        </w:tc>
        <w:tc>
          <w:tcPr>
            <w:tcW w:w="479" w:type="pct"/>
            <w:vAlign w:val="center"/>
          </w:tcPr>
          <w:p>
            <w:pPr>
              <w:spacing w:line="240" w:lineRule="auto"/>
              <w:jc w:val="center"/>
              <w:rPr>
                <w:rFonts w:ascii="Times New Roman" w:hAnsi="Times New Roman"/>
                <w:sz w:val="19"/>
                <w:szCs w:val="19"/>
              </w:rPr>
            </w:pPr>
            <w:r>
              <w:rPr>
                <w:rFonts w:ascii="Times New Roman" w:hAnsi="Times New Roman"/>
                <w:sz w:val="19"/>
                <w:szCs w:val="19"/>
              </w:rPr>
              <w:t>182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05" w:type="pct"/>
            <w:vMerge w:val="restart"/>
            <w:shd w:val="clear" w:color="auto" w:fill="auto"/>
            <w:tcMar>
              <w:top w:w="12" w:type="dxa"/>
              <w:left w:w="12" w:type="dxa"/>
              <w:right w:w="12" w:type="dxa"/>
            </w:tcMar>
            <w:vAlign w:val="center"/>
          </w:tcPr>
          <w:p>
            <w:pPr>
              <w:spacing w:line="240" w:lineRule="auto"/>
              <w:jc w:val="center"/>
              <w:rPr>
                <w:rFonts w:hint="eastAsia"/>
                <w:sz w:val="19"/>
              </w:rPr>
            </w:pPr>
            <w:r>
              <w:rPr>
                <w:sz w:val="19"/>
              </w:rPr>
              <w:t>合计</w:t>
            </w:r>
          </w:p>
        </w:tc>
        <w:tc>
          <w:tcPr>
            <w:tcW w:w="629"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数量</w:t>
            </w:r>
          </w:p>
        </w:tc>
        <w:tc>
          <w:tcPr>
            <w:tcW w:w="482"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33</w:t>
            </w:r>
          </w:p>
        </w:tc>
        <w:tc>
          <w:tcPr>
            <w:tcW w:w="482"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33</w:t>
            </w:r>
          </w:p>
        </w:tc>
        <w:tc>
          <w:tcPr>
            <w:tcW w:w="482"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ascii="Times New Roman" w:hAnsi="Times New Roman"/>
                <w:sz w:val="19"/>
                <w:szCs w:val="19"/>
              </w:rPr>
              <w:t>42</w:t>
            </w:r>
          </w:p>
        </w:tc>
        <w:tc>
          <w:tcPr>
            <w:tcW w:w="484"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30</w:t>
            </w:r>
          </w:p>
        </w:tc>
        <w:tc>
          <w:tcPr>
            <w:tcW w:w="490"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43</w:t>
            </w:r>
          </w:p>
        </w:tc>
        <w:tc>
          <w:tcPr>
            <w:tcW w:w="484" w:type="pct"/>
            <w:vAlign w:val="center"/>
          </w:tcPr>
          <w:p>
            <w:pPr>
              <w:spacing w:line="240" w:lineRule="auto"/>
              <w:jc w:val="center"/>
              <w:rPr>
                <w:rFonts w:hint="eastAsia"/>
                <w:sz w:val="19"/>
              </w:rPr>
            </w:pPr>
            <w:r>
              <w:rPr>
                <w:rFonts w:hint="eastAsia" w:ascii="Times New Roman" w:hAnsi="Times New Roman"/>
                <w:sz w:val="19"/>
                <w:szCs w:val="19"/>
              </w:rPr>
              <w:t>181</w:t>
            </w:r>
          </w:p>
        </w:tc>
        <w:tc>
          <w:tcPr>
            <w:tcW w:w="482" w:type="pct"/>
            <w:vAlign w:val="center"/>
          </w:tcPr>
          <w:p>
            <w:pPr>
              <w:spacing w:line="240" w:lineRule="auto"/>
              <w:jc w:val="center"/>
              <w:rPr>
                <w:rFonts w:hint="eastAsia"/>
                <w:sz w:val="19"/>
              </w:rPr>
            </w:pPr>
            <w:r>
              <w:rPr>
                <w:rFonts w:ascii="Times New Roman" w:hAnsi="Times New Roman"/>
                <w:sz w:val="19"/>
                <w:szCs w:val="19"/>
              </w:rPr>
              <w:t>39</w:t>
            </w:r>
          </w:p>
        </w:tc>
        <w:tc>
          <w:tcPr>
            <w:tcW w:w="479" w:type="pct"/>
            <w:vAlign w:val="center"/>
          </w:tcPr>
          <w:p>
            <w:pPr>
              <w:spacing w:line="240" w:lineRule="auto"/>
              <w:jc w:val="center"/>
              <w:rPr>
                <w:rFonts w:ascii="Times New Roman" w:hAnsi="Times New Roman"/>
                <w:sz w:val="19"/>
                <w:szCs w:val="19"/>
              </w:rPr>
            </w:pPr>
            <w:r>
              <w:rPr>
                <w:rFonts w:hint="eastAsia" w:ascii="Times New Roman" w:hAnsi="Times New Roman"/>
                <w:sz w:val="19"/>
                <w:szCs w:val="19"/>
              </w:rPr>
              <w:t>220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05" w:type="pct"/>
            <w:vMerge w:val="continue"/>
            <w:shd w:val="clear" w:color="auto" w:fill="auto"/>
            <w:tcMar>
              <w:top w:w="12" w:type="dxa"/>
              <w:left w:w="12" w:type="dxa"/>
              <w:right w:w="12" w:type="dxa"/>
            </w:tcMar>
            <w:vAlign w:val="center"/>
          </w:tcPr>
          <w:p>
            <w:pPr>
              <w:spacing w:line="240" w:lineRule="auto"/>
              <w:jc w:val="center"/>
              <w:rPr>
                <w:rFonts w:hint="eastAsia"/>
                <w:sz w:val="19"/>
              </w:rPr>
            </w:pPr>
          </w:p>
        </w:tc>
        <w:tc>
          <w:tcPr>
            <w:tcW w:w="62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充电枪（个）</w:t>
            </w:r>
          </w:p>
        </w:tc>
        <w:tc>
          <w:tcPr>
            <w:tcW w:w="482"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33</w:t>
            </w:r>
          </w:p>
        </w:tc>
        <w:tc>
          <w:tcPr>
            <w:tcW w:w="482"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33</w:t>
            </w:r>
          </w:p>
        </w:tc>
        <w:tc>
          <w:tcPr>
            <w:tcW w:w="482"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ascii="Times New Roman" w:hAnsi="Times New Roman"/>
                <w:sz w:val="19"/>
                <w:szCs w:val="19"/>
              </w:rPr>
              <w:t>42</w:t>
            </w:r>
          </w:p>
        </w:tc>
        <w:tc>
          <w:tcPr>
            <w:tcW w:w="484"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30</w:t>
            </w:r>
          </w:p>
        </w:tc>
        <w:tc>
          <w:tcPr>
            <w:tcW w:w="490"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43</w:t>
            </w:r>
          </w:p>
        </w:tc>
        <w:tc>
          <w:tcPr>
            <w:tcW w:w="484" w:type="pct"/>
            <w:vAlign w:val="center"/>
          </w:tcPr>
          <w:p>
            <w:pPr>
              <w:spacing w:line="240" w:lineRule="auto"/>
              <w:jc w:val="center"/>
              <w:rPr>
                <w:rFonts w:hint="eastAsia"/>
                <w:sz w:val="19"/>
              </w:rPr>
            </w:pPr>
            <w:r>
              <w:rPr>
                <w:rFonts w:hint="eastAsia" w:ascii="Times New Roman" w:hAnsi="Times New Roman"/>
                <w:sz w:val="19"/>
                <w:szCs w:val="19"/>
              </w:rPr>
              <w:t>181</w:t>
            </w:r>
          </w:p>
        </w:tc>
        <w:tc>
          <w:tcPr>
            <w:tcW w:w="482" w:type="pct"/>
            <w:vAlign w:val="center"/>
          </w:tcPr>
          <w:p>
            <w:pPr>
              <w:spacing w:line="240" w:lineRule="auto"/>
              <w:jc w:val="center"/>
              <w:rPr>
                <w:rFonts w:hint="eastAsia"/>
                <w:sz w:val="19"/>
              </w:rPr>
            </w:pPr>
            <w:r>
              <w:rPr>
                <w:rFonts w:ascii="Times New Roman" w:hAnsi="Times New Roman"/>
                <w:sz w:val="19"/>
                <w:szCs w:val="19"/>
              </w:rPr>
              <w:t>39</w:t>
            </w:r>
          </w:p>
        </w:tc>
        <w:tc>
          <w:tcPr>
            <w:tcW w:w="479" w:type="pct"/>
            <w:vAlign w:val="center"/>
          </w:tcPr>
          <w:p>
            <w:pPr>
              <w:spacing w:line="240" w:lineRule="auto"/>
              <w:jc w:val="center"/>
              <w:rPr>
                <w:rFonts w:ascii="Times New Roman" w:hAnsi="Times New Roman"/>
                <w:sz w:val="19"/>
                <w:szCs w:val="19"/>
              </w:rPr>
            </w:pPr>
            <w:r>
              <w:rPr>
                <w:rFonts w:hint="eastAsia" w:ascii="Times New Roman" w:hAnsi="Times New Roman"/>
                <w:sz w:val="19"/>
                <w:szCs w:val="19"/>
              </w:rPr>
              <w:t>220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05" w:type="pct"/>
            <w:vMerge w:val="continue"/>
            <w:shd w:val="clear" w:color="auto" w:fill="auto"/>
            <w:tcMar>
              <w:top w:w="12" w:type="dxa"/>
              <w:left w:w="12" w:type="dxa"/>
              <w:right w:w="12" w:type="dxa"/>
            </w:tcMar>
            <w:vAlign w:val="center"/>
          </w:tcPr>
          <w:p>
            <w:pPr>
              <w:spacing w:line="240" w:lineRule="auto"/>
              <w:jc w:val="center"/>
              <w:rPr>
                <w:rFonts w:hint="eastAsia"/>
                <w:sz w:val="19"/>
              </w:rPr>
            </w:pPr>
          </w:p>
        </w:tc>
        <w:tc>
          <w:tcPr>
            <w:tcW w:w="629"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功率</w:t>
            </w:r>
          </w:p>
        </w:tc>
        <w:tc>
          <w:tcPr>
            <w:tcW w:w="482"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1980</w:t>
            </w:r>
          </w:p>
        </w:tc>
        <w:tc>
          <w:tcPr>
            <w:tcW w:w="482"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1980</w:t>
            </w:r>
          </w:p>
        </w:tc>
        <w:tc>
          <w:tcPr>
            <w:tcW w:w="482"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ascii="Times New Roman" w:hAnsi="Times New Roman"/>
                <w:sz w:val="19"/>
                <w:szCs w:val="19"/>
              </w:rPr>
              <w:t>2520</w:t>
            </w:r>
          </w:p>
        </w:tc>
        <w:tc>
          <w:tcPr>
            <w:tcW w:w="484"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1800</w:t>
            </w:r>
          </w:p>
        </w:tc>
        <w:tc>
          <w:tcPr>
            <w:tcW w:w="490"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2580</w:t>
            </w:r>
          </w:p>
        </w:tc>
        <w:tc>
          <w:tcPr>
            <w:tcW w:w="484" w:type="pct"/>
            <w:vAlign w:val="center"/>
          </w:tcPr>
          <w:p>
            <w:pPr>
              <w:spacing w:line="240" w:lineRule="auto"/>
              <w:jc w:val="center"/>
              <w:rPr>
                <w:rFonts w:hint="eastAsia"/>
                <w:sz w:val="19"/>
              </w:rPr>
            </w:pPr>
            <w:r>
              <w:rPr>
                <w:rFonts w:hint="eastAsia" w:ascii="Times New Roman" w:hAnsi="Times New Roman"/>
                <w:sz w:val="19"/>
                <w:szCs w:val="19"/>
              </w:rPr>
              <w:t>10860</w:t>
            </w:r>
          </w:p>
        </w:tc>
        <w:tc>
          <w:tcPr>
            <w:tcW w:w="482" w:type="pct"/>
            <w:vAlign w:val="center"/>
          </w:tcPr>
          <w:p>
            <w:pPr>
              <w:spacing w:line="240" w:lineRule="auto"/>
              <w:jc w:val="center"/>
              <w:rPr>
                <w:rFonts w:hint="eastAsia"/>
                <w:sz w:val="19"/>
              </w:rPr>
            </w:pPr>
            <w:r>
              <w:rPr>
                <w:rFonts w:ascii="Times New Roman" w:hAnsi="Times New Roman"/>
                <w:sz w:val="19"/>
                <w:szCs w:val="19"/>
              </w:rPr>
              <w:t>962</w:t>
            </w:r>
          </w:p>
        </w:tc>
        <w:tc>
          <w:tcPr>
            <w:tcW w:w="479" w:type="pct"/>
            <w:vAlign w:val="center"/>
          </w:tcPr>
          <w:p>
            <w:pPr>
              <w:spacing w:line="240" w:lineRule="auto"/>
              <w:jc w:val="center"/>
              <w:rPr>
                <w:rFonts w:ascii="Times New Roman" w:hAnsi="Times New Roman"/>
                <w:sz w:val="19"/>
                <w:szCs w:val="19"/>
              </w:rPr>
            </w:pPr>
            <w:r>
              <w:rPr>
                <w:rFonts w:hint="eastAsia" w:ascii="Times New Roman" w:hAnsi="Times New Roman"/>
                <w:sz w:val="19"/>
                <w:szCs w:val="19"/>
              </w:rPr>
              <w:t>11133</w:t>
            </w:r>
          </w:p>
        </w:tc>
      </w:tr>
    </w:tbl>
    <w:p>
      <w:pPr>
        <w:pStyle w:val="133"/>
        <w:spacing w:line="240" w:lineRule="auto"/>
        <w:ind w:left="921" w:hanging="361"/>
        <w:jc w:val="right"/>
        <w:rPr>
          <w:b/>
          <w:bCs/>
        </w:rPr>
      </w:pPr>
    </w:p>
    <w:p>
      <w:pPr>
        <w:pStyle w:val="3"/>
      </w:pPr>
      <w:bookmarkStart w:id="85" w:name="_Toc2613"/>
      <w:r>
        <w:rPr>
          <w:color w:val="000000" w:themeColor="text1"/>
          <w14:textFill>
            <w14:solidFill>
              <w14:schemeClr w14:val="tx1"/>
            </w14:solidFill>
          </w14:textFill>
        </w:rPr>
        <w:t>投资估算</w:t>
      </w:r>
      <w:bookmarkEnd w:id="83"/>
      <w:bookmarkEnd w:id="84"/>
      <w:bookmarkEnd w:id="85"/>
    </w:p>
    <w:p>
      <w:pPr>
        <w:ind w:firstLine="560"/>
        <w:rPr>
          <w:rFonts w:hint="eastAsia" w:cs="仿宋_GB2312"/>
          <w:szCs w:val="28"/>
        </w:rPr>
      </w:pPr>
      <w:bookmarkStart w:id="86" w:name="_Toc94186603"/>
      <w:r>
        <w:rPr>
          <w:rFonts w:hint="eastAsia" w:cs="仿宋_GB2312"/>
          <w:szCs w:val="28"/>
        </w:rPr>
        <w:t>充电基础设施测算的依据为市场平均价格，具体如下表所示：</w:t>
      </w:r>
    </w:p>
    <w:p>
      <w:pPr>
        <w:pStyle w:val="7"/>
      </w:pPr>
      <w:r>
        <w:rPr>
          <w:szCs w:val="28"/>
        </w:rPr>
        <w:t>充电设施</w:t>
      </w:r>
      <w:r>
        <w:rPr>
          <w:rFonts w:hint="eastAsia"/>
          <w:szCs w:val="28"/>
        </w:rPr>
        <w:t>市场价格</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2101"/>
        <w:gridCol w:w="1815"/>
        <w:gridCol w:w="2228"/>
        <w:gridCol w:w="221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1256" w:type="pct"/>
            <w:shd w:val="clear" w:color="auto" w:fill="D9D9D9"/>
            <w:vAlign w:val="center"/>
          </w:tcPr>
          <w:p>
            <w:pPr>
              <w:spacing w:line="240" w:lineRule="auto"/>
              <w:jc w:val="center"/>
              <w:rPr>
                <w:rFonts w:hint="eastAsia"/>
                <w:b/>
                <w:sz w:val="19"/>
              </w:rPr>
            </w:pPr>
            <w:r>
              <w:rPr>
                <w:rFonts w:hint="eastAsia"/>
                <w:b/>
                <w:sz w:val="19"/>
              </w:rPr>
              <w:t>充电设备分类</w:t>
            </w:r>
          </w:p>
        </w:tc>
        <w:tc>
          <w:tcPr>
            <w:tcW w:w="1085" w:type="pct"/>
            <w:shd w:val="clear" w:color="auto" w:fill="D9D9D9"/>
            <w:vAlign w:val="center"/>
          </w:tcPr>
          <w:p>
            <w:pPr>
              <w:spacing w:line="240" w:lineRule="auto"/>
              <w:jc w:val="center"/>
              <w:rPr>
                <w:rFonts w:hint="eastAsia"/>
                <w:b/>
                <w:sz w:val="19"/>
              </w:rPr>
            </w:pPr>
            <w:r>
              <w:rPr>
                <w:rFonts w:hint="eastAsia"/>
                <w:b/>
                <w:sz w:val="19"/>
              </w:rPr>
              <w:t>充电功率</w:t>
            </w:r>
          </w:p>
        </w:tc>
        <w:tc>
          <w:tcPr>
            <w:tcW w:w="1332" w:type="pct"/>
            <w:shd w:val="clear" w:color="auto" w:fill="D9D9D9"/>
            <w:vAlign w:val="center"/>
          </w:tcPr>
          <w:p>
            <w:pPr>
              <w:spacing w:line="240" w:lineRule="auto"/>
              <w:jc w:val="center"/>
              <w:rPr>
                <w:rFonts w:hint="eastAsia"/>
                <w:b/>
                <w:sz w:val="19"/>
              </w:rPr>
            </w:pPr>
            <w:r>
              <w:rPr>
                <w:rFonts w:hint="eastAsia"/>
                <w:b/>
                <w:sz w:val="19"/>
              </w:rPr>
              <w:t>市场均价（万元）</w:t>
            </w:r>
          </w:p>
        </w:tc>
        <w:tc>
          <w:tcPr>
            <w:tcW w:w="1325" w:type="pct"/>
            <w:shd w:val="clear" w:color="auto" w:fill="D9D9D9"/>
            <w:vAlign w:val="center"/>
          </w:tcPr>
          <w:p>
            <w:pPr>
              <w:spacing w:line="240" w:lineRule="auto"/>
              <w:jc w:val="center"/>
              <w:rPr>
                <w:rFonts w:hint="eastAsia"/>
                <w:b/>
                <w:sz w:val="19"/>
              </w:rPr>
            </w:pPr>
            <w:r>
              <w:rPr>
                <w:rFonts w:hint="eastAsia"/>
                <w:b/>
                <w:sz w:val="19"/>
              </w:rPr>
              <w:t>建设成本（万元）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56" w:type="pct"/>
            <w:vAlign w:val="center"/>
          </w:tcPr>
          <w:p>
            <w:pPr>
              <w:spacing w:line="240" w:lineRule="auto"/>
              <w:jc w:val="center"/>
              <w:rPr>
                <w:rFonts w:hint="eastAsia"/>
                <w:sz w:val="19"/>
              </w:rPr>
            </w:pPr>
            <w:r>
              <w:rPr>
                <w:rFonts w:hint="eastAsia"/>
                <w:sz w:val="19"/>
              </w:rPr>
              <w:t>慢充（</w:t>
            </w:r>
            <w:r>
              <w:rPr>
                <w:sz w:val="19"/>
              </w:rPr>
              <w:t>220V</w:t>
            </w:r>
            <w:r>
              <w:rPr>
                <w:rFonts w:hint="eastAsia"/>
                <w:sz w:val="19"/>
              </w:rPr>
              <w:t>）</w:t>
            </w:r>
          </w:p>
        </w:tc>
        <w:tc>
          <w:tcPr>
            <w:tcW w:w="1085" w:type="pct"/>
            <w:vAlign w:val="center"/>
          </w:tcPr>
          <w:p>
            <w:pPr>
              <w:spacing w:line="240" w:lineRule="auto"/>
              <w:jc w:val="center"/>
              <w:rPr>
                <w:rFonts w:hint="eastAsia"/>
                <w:sz w:val="19"/>
              </w:rPr>
            </w:pPr>
            <w:r>
              <w:rPr>
                <w:rFonts w:hint="eastAsia"/>
                <w:sz w:val="19"/>
              </w:rPr>
              <w:t>7</w:t>
            </w:r>
            <w:r>
              <w:rPr>
                <w:sz w:val="19"/>
              </w:rPr>
              <w:t>kW</w:t>
            </w:r>
          </w:p>
        </w:tc>
        <w:tc>
          <w:tcPr>
            <w:tcW w:w="1332" w:type="pct"/>
            <w:vAlign w:val="center"/>
          </w:tcPr>
          <w:p>
            <w:pPr>
              <w:spacing w:line="240" w:lineRule="auto"/>
              <w:jc w:val="center"/>
              <w:rPr>
                <w:rFonts w:hint="eastAsia"/>
                <w:sz w:val="19"/>
              </w:rPr>
            </w:pPr>
            <w:r>
              <w:rPr>
                <w:sz w:val="19"/>
              </w:rPr>
              <w:t>0.5/</w:t>
            </w:r>
            <w:r>
              <w:rPr>
                <w:rFonts w:hint="eastAsia"/>
                <w:sz w:val="19"/>
              </w:rPr>
              <w:t>个</w:t>
            </w:r>
          </w:p>
        </w:tc>
        <w:tc>
          <w:tcPr>
            <w:tcW w:w="1325" w:type="pct"/>
            <w:vAlign w:val="center"/>
          </w:tcPr>
          <w:p>
            <w:pPr>
              <w:spacing w:line="240" w:lineRule="auto"/>
              <w:jc w:val="center"/>
              <w:rPr>
                <w:rFonts w:hint="eastAsia"/>
                <w:sz w:val="19"/>
              </w:rPr>
            </w:pPr>
            <w:r>
              <w:rPr>
                <w:rFonts w:hint="eastAsia"/>
                <w:sz w:val="19"/>
              </w:rPr>
              <w:t>1</w:t>
            </w:r>
            <w:r>
              <w:rPr>
                <w:sz w:val="19"/>
              </w:rPr>
              <w:t>.</w:t>
            </w:r>
            <w:r>
              <w:rPr>
                <w:rFonts w:hint="eastAsia"/>
                <w:sz w:val="19"/>
              </w:rPr>
              <w:t>4</w:t>
            </w:r>
            <w:r>
              <w:rPr>
                <w:sz w:val="19"/>
              </w:rPr>
              <w:t>/</w:t>
            </w:r>
            <w:r>
              <w:rPr>
                <w:rFonts w:hint="eastAsia"/>
                <w:sz w:val="19"/>
              </w:rPr>
              <w:t>个</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56" w:type="pct"/>
            <w:vAlign w:val="center"/>
          </w:tcPr>
          <w:p>
            <w:pPr>
              <w:spacing w:line="240" w:lineRule="auto"/>
              <w:jc w:val="center"/>
              <w:rPr>
                <w:rFonts w:hint="eastAsia"/>
                <w:sz w:val="19"/>
              </w:rPr>
            </w:pPr>
            <w:r>
              <w:rPr>
                <w:rFonts w:hint="eastAsia"/>
                <w:sz w:val="19"/>
              </w:rPr>
              <w:t>快充（</w:t>
            </w:r>
            <w:r>
              <w:rPr>
                <w:sz w:val="19"/>
              </w:rPr>
              <w:t>380V</w:t>
            </w:r>
            <w:r>
              <w:rPr>
                <w:rFonts w:hint="eastAsia"/>
                <w:sz w:val="19"/>
              </w:rPr>
              <w:t>）</w:t>
            </w:r>
          </w:p>
        </w:tc>
        <w:tc>
          <w:tcPr>
            <w:tcW w:w="1085" w:type="pct"/>
            <w:vAlign w:val="center"/>
          </w:tcPr>
          <w:p>
            <w:pPr>
              <w:spacing w:line="240" w:lineRule="auto"/>
              <w:jc w:val="center"/>
              <w:rPr>
                <w:rFonts w:hint="eastAsia"/>
                <w:sz w:val="19"/>
              </w:rPr>
            </w:pPr>
            <w:r>
              <w:rPr>
                <w:rFonts w:hint="eastAsia"/>
                <w:sz w:val="19"/>
              </w:rPr>
              <w:t>6</w:t>
            </w:r>
            <w:r>
              <w:rPr>
                <w:sz w:val="19"/>
              </w:rPr>
              <w:t>0kW</w:t>
            </w:r>
          </w:p>
        </w:tc>
        <w:tc>
          <w:tcPr>
            <w:tcW w:w="1332" w:type="pct"/>
            <w:vAlign w:val="center"/>
          </w:tcPr>
          <w:p>
            <w:pPr>
              <w:spacing w:line="240" w:lineRule="auto"/>
              <w:jc w:val="center"/>
              <w:rPr>
                <w:rFonts w:hint="eastAsia"/>
                <w:sz w:val="19"/>
              </w:rPr>
            </w:pPr>
            <w:r>
              <w:rPr>
                <w:sz w:val="19"/>
              </w:rPr>
              <w:t>4.2/</w:t>
            </w:r>
            <w:r>
              <w:rPr>
                <w:rFonts w:hint="eastAsia"/>
                <w:sz w:val="19"/>
              </w:rPr>
              <w:t>个</w:t>
            </w:r>
          </w:p>
        </w:tc>
        <w:tc>
          <w:tcPr>
            <w:tcW w:w="1325" w:type="pct"/>
            <w:vAlign w:val="center"/>
          </w:tcPr>
          <w:p>
            <w:pPr>
              <w:spacing w:line="240" w:lineRule="auto"/>
              <w:jc w:val="center"/>
              <w:rPr>
                <w:rFonts w:hint="eastAsia"/>
                <w:sz w:val="19"/>
              </w:rPr>
            </w:pPr>
            <w:r>
              <w:rPr>
                <w:rFonts w:hint="eastAsia"/>
                <w:sz w:val="19"/>
              </w:rPr>
              <w:t>12/个</w:t>
            </w:r>
          </w:p>
        </w:tc>
      </w:tr>
    </w:tbl>
    <w:p>
      <w:pPr>
        <w:ind w:firstLine="560"/>
        <w:rPr>
          <w:rFonts w:hint="eastAsia"/>
        </w:rPr>
      </w:pPr>
      <w:r>
        <w:rPr>
          <w:rFonts w:hint="eastAsia"/>
        </w:rPr>
        <w:t>根据上述充电设施建设的目标数据估算，至202</w:t>
      </w:r>
      <w:r>
        <w:t>8</w:t>
      </w:r>
      <w:r>
        <w:rPr>
          <w:rFonts w:hint="eastAsia"/>
        </w:rPr>
        <w:t>年，桓仁满族自治县充电设施共投资2364.4万元，其中公用充电设施投资2172万元，专用充电设施投资192.4万元。</w:t>
      </w:r>
    </w:p>
    <w:p>
      <w:pPr>
        <w:pStyle w:val="7"/>
      </w:pPr>
      <w:r>
        <w:rPr>
          <w:szCs w:val="28"/>
        </w:rPr>
        <w:t>规划年充电设施投资规模</w:t>
      </w:r>
    </w:p>
    <w:p>
      <w:pPr>
        <w:pStyle w:val="133"/>
        <w:spacing w:line="319" w:lineRule="auto"/>
        <w:ind w:left="921" w:hanging="361"/>
        <w:jc w:val="right"/>
        <w:rPr>
          <w:b/>
          <w:bCs/>
        </w:rPr>
      </w:pPr>
      <w:r>
        <w:rPr>
          <w:b/>
          <w:bCs/>
        </w:rPr>
        <w:t>单位：万元</w:t>
      </w: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1087"/>
        <w:gridCol w:w="839"/>
        <w:gridCol w:w="840"/>
        <w:gridCol w:w="840"/>
        <w:gridCol w:w="840"/>
        <w:gridCol w:w="840"/>
        <w:gridCol w:w="1431"/>
        <w:gridCol w:w="739"/>
        <w:gridCol w:w="8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652" w:type="pct"/>
            <w:vMerge w:val="restar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类型</w:t>
            </w:r>
          </w:p>
        </w:tc>
        <w:tc>
          <w:tcPr>
            <w:tcW w:w="3372" w:type="pct"/>
            <w:gridSpan w:val="6"/>
            <w:shd w:val="clear" w:color="auto" w:fill="D9D9D9"/>
            <w:noWrap/>
            <w:tcMar>
              <w:top w:w="12" w:type="dxa"/>
              <w:left w:w="12" w:type="dxa"/>
              <w:right w:w="12" w:type="dxa"/>
            </w:tcMar>
            <w:vAlign w:val="center"/>
          </w:tcPr>
          <w:p>
            <w:pPr>
              <w:spacing w:line="240" w:lineRule="auto"/>
              <w:jc w:val="center"/>
              <w:rPr>
                <w:rFonts w:hint="eastAsia"/>
                <w:b/>
                <w:sz w:val="19"/>
              </w:rPr>
            </w:pPr>
            <w:r>
              <w:rPr>
                <w:rFonts w:hint="eastAsia"/>
                <w:b/>
                <w:sz w:val="19"/>
              </w:rPr>
              <w:t>公用</w:t>
            </w:r>
          </w:p>
        </w:tc>
        <w:tc>
          <w:tcPr>
            <w:tcW w:w="443" w:type="pct"/>
            <w:vMerge w:val="restart"/>
            <w:shd w:val="clear" w:color="auto" w:fill="D9D9D9"/>
            <w:vAlign w:val="center"/>
          </w:tcPr>
          <w:p>
            <w:pPr>
              <w:spacing w:line="240" w:lineRule="auto"/>
              <w:jc w:val="center"/>
              <w:rPr>
                <w:rFonts w:hint="eastAsia"/>
                <w:b/>
                <w:sz w:val="19"/>
              </w:rPr>
            </w:pPr>
            <w:r>
              <w:rPr>
                <w:rFonts w:hint="eastAsia"/>
                <w:b/>
                <w:sz w:val="19"/>
              </w:rPr>
              <w:t>专用</w:t>
            </w:r>
          </w:p>
        </w:tc>
        <w:tc>
          <w:tcPr>
            <w:tcW w:w="533" w:type="pct"/>
            <w:vMerge w:val="restart"/>
            <w:shd w:val="clear" w:color="auto" w:fill="D9D9D9"/>
            <w:vAlign w:val="center"/>
          </w:tcPr>
          <w:p>
            <w:pPr>
              <w:spacing w:line="240" w:lineRule="auto"/>
              <w:jc w:val="center"/>
              <w:rPr>
                <w:rFonts w:hint="eastAsia"/>
                <w:b/>
                <w:sz w:val="19"/>
              </w:rPr>
            </w:pPr>
            <w:r>
              <w:rPr>
                <w:rFonts w:hint="eastAsia"/>
                <w:b/>
                <w:sz w:val="19"/>
              </w:rPr>
              <w:t>合计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652" w:type="pct"/>
            <w:vMerge w:val="continue"/>
            <w:shd w:val="clear" w:color="auto" w:fill="D9D9D9"/>
            <w:noWrap/>
            <w:tcMar>
              <w:top w:w="12" w:type="dxa"/>
              <w:left w:w="12" w:type="dxa"/>
              <w:right w:w="12" w:type="dxa"/>
            </w:tcMar>
            <w:vAlign w:val="center"/>
          </w:tcPr>
          <w:p>
            <w:pPr>
              <w:spacing w:line="240" w:lineRule="auto"/>
              <w:jc w:val="center"/>
              <w:rPr>
                <w:rFonts w:hint="eastAsia"/>
                <w:b/>
                <w:sz w:val="19"/>
              </w:rPr>
            </w:pPr>
          </w:p>
        </w:tc>
        <w:tc>
          <w:tcPr>
            <w:tcW w:w="503"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2024</w:t>
            </w:r>
          </w:p>
        </w:tc>
        <w:tc>
          <w:tcPr>
            <w:tcW w:w="503"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2025</w:t>
            </w:r>
          </w:p>
        </w:tc>
        <w:tc>
          <w:tcPr>
            <w:tcW w:w="503"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2026</w:t>
            </w:r>
          </w:p>
        </w:tc>
        <w:tc>
          <w:tcPr>
            <w:tcW w:w="503"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2027</w:t>
            </w:r>
          </w:p>
        </w:tc>
        <w:tc>
          <w:tcPr>
            <w:tcW w:w="503"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2028</w:t>
            </w:r>
          </w:p>
        </w:tc>
        <w:tc>
          <w:tcPr>
            <w:tcW w:w="856" w:type="pct"/>
            <w:shd w:val="clear" w:color="auto" w:fill="D9D9D9"/>
            <w:vAlign w:val="center"/>
          </w:tcPr>
          <w:p>
            <w:pPr>
              <w:spacing w:line="240" w:lineRule="auto"/>
              <w:jc w:val="center"/>
              <w:rPr>
                <w:rFonts w:hint="eastAsia"/>
                <w:b/>
                <w:sz w:val="19"/>
              </w:rPr>
            </w:pPr>
            <w:r>
              <w:rPr>
                <w:rFonts w:hint="eastAsia"/>
                <w:b/>
                <w:sz w:val="19"/>
              </w:rPr>
              <w:t>公用</w:t>
            </w:r>
            <w:r>
              <w:rPr>
                <w:b/>
                <w:sz w:val="19"/>
              </w:rPr>
              <w:t>合计</w:t>
            </w:r>
          </w:p>
        </w:tc>
        <w:tc>
          <w:tcPr>
            <w:tcW w:w="443" w:type="pct"/>
            <w:vMerge w:val="continue"/>
            <w:shd w:val="clear" w:color="auto" w:fill="D9D9D9"/>
            <w:vAlign w:val="center"/>
          </w:tcPr>
          <w:p>
            <w:pPr>
              <w:spacing w:line="240" w:lineRule="auto"/>
              <w:jc w:val="center"/>
              <w:rPr>
                <w:rFonts w:hint="eastAsia"/>
                <w:b/>
                <w:sz w:val="19"/>
              </w:rPr>
            </w:pPr>
          </w:p>
        </w:tc>
        <w:tc>
          <w:tcPr>
            <w:tcW w:w="533" w:type="pct"/>
            <w:vMerge w:val="continue"/>
            <w:shd w:val="clear" w:color="auto" w:fill="D9D9D9"/>
            <w:vAlign w:val="center"/>
          </w:tcPr>
          <w:p>
            <w:pPr>
              <w:spacing w:line="240" w:lineRule="auto"/>
              <w:jc w:val="center"/>
              <w:rPr>
                <w:rFonts w:hint="eastAsia"/>
                <w:b/>
                <w:sz w:val="19"/>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52"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直流桩</w:t>
            </w:r>
          </w:p>
        </w:tc>
        <w:tc>
          <w:tcPr>
            <w:tcW w:w="503"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396</w:t>
            </w:r>
          </w:p>
        </w:tc>
        <w:tc>
          <w:tcPr>
            <w:tcW w:w="503"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396</w:t>
            </w:r>
          </w:p>
        </w:tc>
        <w:tc>
          <w:tcPr>
            <w:tcW w:w="503"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ascii="Times New Roman" w:hAnsi="Times New Roman"/>
                <w:sz w:val="19"/>
                <w:szCs w:val="19"/>
              </w:rPr>
              <w:t>504</w:t>
            </w:r>
          </w:p>
        </w:tc>
        <w:tc>
          <w:tcPr>
            <w:tcW w:w="503"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360</w:t>
            </w:r>
          </w:p>
        </w:tc>
        <w:tc>
          <w:tcPr>
            <w:tcW w:w="503"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516</w:t>
            </w:r>
          </w:p>
        </w:tc>
        <w:tc>
          <w:tcPr>
            <w:tcW w:w="856" w:type="pct"/>
            <w:vAlign w:val="center"/>
          </w:tcPr>
          <w:p>
            <w:pPr>
              <w:spacing w:line="240" w:lineRule="auto"/>
              <w:jc w:val="center"/>
              <w:rPr>
                <w:rFonts w:hint="eastAsia"/>
                <w:sz w:val="19"/>
              </w:rPr>
            </w:pPr>
            <w:r>
              <w:rPr>
                <w:rFonts w:hint="eastAsia" w:ascii="Times New Roman" w:hAnsi="Times New Roman"/>
                <w:sz w:val="19"/>
                <w:szCs w:val="19"/>
              </w:rPr>
              <w:t>2172</w:t>
            </w:r>
          </w:p>
        </w:tc>
        <w:tc>
          <w:tcPr>
            <w:tcW w:w="443" w:type="pct"/>
            <w:vAlign w:val="center"/>
          </w:tcPr>
          <w:p>
            <w:pPr>
              <w:spacing w:line="240" w:lineRule="auto"/>
              <w:jc w:val="center"/>
              <w:rPr>
                <w:rFonts w:hint="eastAsia"/>
                <w:sz w:val="19"/>
              </w:rPr>
            </w:pPr>
            <w:r>
              <w:rPr>
                <w:rFonts w:ascii="Times New Roman" w:hAnsi="Times New Roman"/>
                <w:sz w:val="19"/>
                <w:szCs w:val="19"/>
              </w:rPr>
              <w:t>156</w:t>
            </w:r>
          </w:p>
        </w:tc>
        <w:tc>
          <w:tcPr>
            <w:tcW w:w="533" w:type="pct"/>
            <w:vAlign w:val="center"/>
          </w:tcPr>
          <w:p>
            <w:pPr>
              <w:spacing w:line="240" w:lineRule="auto"/>
              <w:jc w:val="center"/>
              <w:rPr>
                <w:rFonts w:hint="eastAsia"/>
                <w:sz w:val="19"/>
              </w:rPr>
            </w:pPr>
            <w:r>
              <w:rPr>
                <w:rFonts w:hint="eastAsia" w:ascii="Times New Roman" w:hAnsi="Times New Roman"/>
                <w:sz w:val="19"/>
                <w:szCs w:val="19"/>
              </w:rPr>
              <w:t>2328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52"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交流桩</w:t>
            </w:r>
          </w:p>
        </w:tc>
        <w:tc>
          <w:tcPr>
            <w:tcW w:w="503"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0</w:t>
            </w:r>
          </w:p>
        </w:tc>
        <w:tc>
          <w:tcPr>
            <w:tcW w:w="503"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0</w:t>
            </w:r>
          </w:p>
        </w:tc>
        <w:tc>
          <w:tcPr>
            <w:tcW w:w="503"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0</w:t>
            </w:r>
          </w:p>
        </w:tc>
        <w:tc>
          <w:tcPr>
            <w:tcW w:w="503"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0</w:t>
            </w:r>
          </w:p>
        </w:tc>
        <w:tc>
          <w:tcPr>
            <w:tcW w:w="503"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0</w:t>
            </w:r>
          </w:p>
        </w:tc>
        <w:tc>
          <w:tcPr>
            <w:tcW w:w="856" w:type="pct"/>
            <w:vAlign w:val="center"/>
          </w:tcPr>
          <w:p>
            <w:pPr>
              <w:spacing w:line="240" w:lineRule="auto"/>
              <w:jc w:val="center"/>
              <w:rPr>
                <w:rFonts w:hint="eastAsia"/>
                <w:sz w:val="19"/>
              </w:rPr>
            </w:pPr>
            <w:r>
              <w:rPr>
                <w:rFonts w:ascii="Times New Roman" w:hAnsi="Times New Roman"/>
                <w:sz w:val="19"/>
                <w:szCs w:val="19"/>
              </w:rPr>
              <w:t>0</w:t>
            </w:r>
          </w:p>
        </w:tc>
        <w:tc>
          <w:tcPr>
            <w:tcW w:w="443" w:type="pct"/>
            <w:vAlign w:val="center"/>
          </w:tcPr>
          <w:p>
            <w:pPr>
              <w:spacing w:line="240" w:lineRule="auto"/>
              <w:jc w:val="center"/>
              <w:rPr>
                <w:rFonts w:hint="eastAsia"/>
                <w:sz w:val="19"/>
              </w:rPr>
            </w:pPr>
            <w:r>
              <w:rPr>
                <w:rFonts w:ascii="Times New Roman" w:hAnsi="Times New Roman" w:eastAsia="等线"/>
                <w:color w:val="000000"/>
                <w:sz w:val="19"/>
                <w:szCs w:val="19"/>
              </w:rPr>
              <w:t>36.4</w:t>
            </w:r>
          </w:p>
        </w:tc>
        <w:tc>
          <w:tcPr>
            <w:tcW w:w="533" w:type="pct"/>
            <w:vAlign w:val="center"/>
          </w:tcPr>
          <w:p>
            <w:pPr>
              <w:spacing w:line="240" w:lineRule="auto"/>
              <w:jc w:val="center"/>
              <w:rPr>
                <w:rFonts w:ascii="Times New Roman" w:hAnsi="Times New Roman"/>
                <w:sz w:val="19"/>
                <w:szCs w:val="19"/>
              </w:rPr>
            </w:pPr>
            <w:r>
              <w:rPr>
                <w:rFonts w:ascii="Times New Roman" w:hAnsi="Times New Roman" w:eastAsia="等线"/>
                <w:color w:val="000000"/>
                <w:sz w:val="19"/>
                <w:szCs w:val="19"/>
              </w:rPr>
              <w:t>36.4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52"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合计</w:t>
            </w:r>
          </w:p>
        </w:tc>
        <w:tc>
          <w:tcPr>
            <w:tcW w:w="503"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396</w:t>
            </w:r>
          </w:p>
        </w:tc>
        <w:tc>
          <w:tcPr>
            <w:tcW w:w="503"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396</w:t>
            </w:r>
          </w:p>
        </w:tc>
        <w:tc>
          <w:tcPr>
            <w:tcW w:w="503"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ascii="Times New Roman" w:hAnsi="Times New Roman"/>
                <w:sz w:val="19"/>
                <w:szCs w:val="19"/>
              </w:rPr>
              <w:t>504</w:t>
            </w:r>
          </w:p>
        </w:tc>
        <w:tc>
          <w:tcPr>
            <w:tcW w:w="503"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360</w:t>
            </w:r>
          </w:p>
        </w:tc>
        <w:tc>
          <w:tcPr>
            <w:tcW w:w="503" w:type="pct"/>
            <w:shd w:val="clear" w:color="auto" w:fill="auto"/>
            <w:noWrap/>
            <w:tcMar>
              <w:top w:w="12" w:type="dxa"/>
              <w:left w:w="12" w:type="dxa"/>
              <w:right w:w="12" w:type="dxa"/>
            </w:tcMar>
            <w:vAlign w:val="center"/>
          </w:tcPr>
          <w:p>
            <w:pPr>
              <w:spacing w:line="240" w:lineRule="auto"/>
              <w:jc w:val="center"/>
              <w:rPr>
                <w:rFonts w:hint="eastAsia"/>
                <w:sz w:val="19"/>
              </w:rPr>
            </w:pPr>
            <w:r>
              <w:rPr>
                <w:rFonts w:ascii="Times New Roman" w:hAnsi="Times New Roman"/>
                <w:sz w:val="19"/>
                <w:szCs w:val="19"/>
              </w:rPr>
              <w:t>516</w:t>
            </w:r>
          </w:p>
        </w:tc>
        <w:tc>
          <w:tcPr>
            <w:tcW w:w="856" w:type="pct"/>
            <w:vAlign w:val="center"/>
          </w:tcPr>
          <w:p>
            <w:pPr>
              <w:spacing w:line="240" w:lineRule="auto"/>
              <w:jc w:val="center"/>
              <w:rPr>
                <w:rFonts w:hint="eastAsia"/>
                <w:sz w:val="19"/>
              </w:rPr>
            </w:pPr>
            <w:r>
              <w:rPr>
                <w:rFonts w:hint="eastAsia" w:ascii="Times New Roman" w:hAnsi="Times New Roman"/>
                <w:sz w:val="19"/>
                <w:szCs w:val="19"/>
              </w:rPr>
              <w:t>2172</w:t>
            </w:r>
          </w:p>
        </w:tc>
        <w:tc>
          <w:tcPr>
            <w:tcW w:w="443" w:type="pct"/>
            <w:vAlign w:val="center"/>
          </w:tcPr>
          <w:p>
            <w:pPr>
              <w:spacing w:line="240" w:lineRule="auto"/>
              <w:jc w:val="center"/>
              <w:rPr>
                <w:rFonts w:hint="eastAsia"/>
                <w:sz w:val="19"/>
              </w:rPr>
            </w:pPr>
            <w:r>
              <w:rPr>
                <w:rFonts w:ascii="Times New Roman" w:hAnsi="Times New Roman" w:eastAsia="等线"/>
                <w:color w:val="000000"/>
                <w:sz w:val="19"/>
                <w:szCs w:val="19"/>
              </w:rPr>
              <w:t>192.4</w:t>
            </w:r>
          </w:p>
        </w:tc>
        <w:tc>
          <w:tcPr>
            <w:tcW w:w="533" w:type="pct"/>
            <w:vAlign w:val="center"/>
          </w:tcPr>
          <w:p>
            <w:pPr>
              <w:spacing w:line="240" w:lineRule="auto"/>
              <w:jc w:val="center"/>
              <w:rPr>
                <w:rFonts w:ascii="Times New Roman" w:hAnsi="Times New Roman"/>
                <w:sz w:val="19"/>
                <w:szCs w:val="19"/>
              </w:rPr>
            </w:pPr>
            <w:r>
              <w:rPr>
                <w:rFonts w:ascii="Times New Roman" w:hAnsi="Times New Roman" w:eastAsia="等线"/>
                <w:color w:val="000000"/>
                <w:sz w:val="19"/>
                <w:szCs w:val="19"/>
              </w:rPr>
              <w:t>2364.4</w:t>
            </w:r>
          </w:p>
        </w:tc>
      </w:tr>
    </w:tbl>
    <w:p>
      <w:pPr>
        <w:pStyle w:val="133"/>
        <w:spacing w:line="319" w:lineRule="auto"/>
        <w:ind w:left="921" w:hanging="361"/>
        <w:jc w:val="right"/>
        <w:rPr>
          <w:b/>
          <w:bCs/>
        </w:rPr>
      </w:pPr>
    </w:p>
    <w:p>
      <w:pPr>
        <w:pStyle w:val="3"/>
        <w:rPr>
          <w:color w:val="000000" w:themeColor="text1"/>
          <w14:textFill>
            <w14:solidFill>
              <w14:schemeClr w14:val="tx1"/>
            </w14:solidFill>
          </w14:textFill>
        </w:rPr>
      </w:pPr>
      <w:bookmarkStart w:id="87" w:name="_Toc3875"/>
      <w:r>
        <w:rPr>
          <w:color w:val="000000" w:themeColor="text1"/>
          <w14:textFill>
            <w14:solidFill>
              <w14:schemeClr w14:val="tx1"/>
            </w14:solidFill>
          </w14:textFill>
        </w:rPr>
        <w:t>成效评估</w:t>
      </w:r>
      <w:bookmarkEnd w:id="86"/>
      <w:bookmarkEnd w:id="87"/>
    </w:p>
    <w:p>
      <w:pPr>
        <w:ind w:firstLine="560"/>
        <w:rPr>
          <w:rFonts w:hint="eastAsia" w:cs="仿宋_GB2312"/>
          <w:b/>
          <w:bCs/>
          <w:szCs w:val="28"/>
        </w:rPr>
      </w:pPr>
      <w:bookmarkStart w:id="88" w:name="_Toc94186604"/>
      <w:r>
        <w:rPr>
          <w:rFonts w:hint="eastAsia" w:cs="仿宋_GB2312"/>
          <w:b/>
          <w:bCs/>
          <w:szCs w:val="28"/>
        </w:rPr>
        <w:t>（1）</w:t>
      </w:r>
      <w:r>
        <w:rPr>
          <w:rFonts w:cs="仿宋_GB2312"/>
          <w:b/>
          <w:bCs/>
          <w:szCs w:val="28"/>
        </w:rPr>
        <w:t>充电服务能力</w:t>
      </w:r>
    </w:p>
    <w:p>
      <w:pPr>
        <w:ind w:firstLine="560"/>
        <w:rPr>
          <w:rFonts w:hint="eastAsia" w:cs="仿宋_GB2312"/>
          <w:szCs w:val="28"/>
        </w:rPr>
      </w:pPr>
      <w:r>
        <w:rPr>
          <w:rFonts w:cs="仿宋_GB2312"/>
          <w:szCs w:val="28"/>
        </w:rPr>
        <w:t>2024-2028</w:t>
      </w:r>
      <w:r>
        <w:rPr>
          <w:rFonts w:hint="eastAsia" w:cs="仿宋_GB2312"/>
          <w:szCs w:val="28"/>
        </w:rPr>
        <w:t>年</w:t>
      </w:r>
      <w:r>
        <w:rPr>
          <w:rFonts w:cs="仿宋_GB2312"/>
          <w:szCs w:val="28"/>
        </w:rPr>
        <w:t>期间，</w:t>
      </w:r>
      <w:r>
        <w:rPr>
          <w:rFonts w:hint="eastAsia" w:cs="仿宋_GB2312"/>
          <w:szCs w:val="28"/>
        </w:rPr>
        <w:t>桓仁满族自治县</w:t>
      </w:r>
      <w:r>
        <w:rPr>
          <w:rFonts w:cs="仿宋_GB2312"/>
          <w:szCs w:val="28"/>
        </w:rPr>
        <w:t>共新建</w:t>
      </w:r>
      <w:r>
        <w:rPr>
          <w:rFonts w:hint="eastAsia" w:cs="仿宋_GB2312"/>
          <w:szCs w:val="28"/>
        </w:rPr>
        <w:t>公共</w:t>
      </w:r>
      <w:r>
        <w:rPr>
          <w:rFonts w:cs="仿宋_GB2312"/>
          <w:szCs w:val="28"/>
        </w:rPr>
        <w:t>电动汽车充电站</w:t>
      </w:r>
      <w:r>
        <w:rPr>
          <w:rFonts w:hint="eastAsia" w:cs="仿宋_GB2312"/>
          <w:szCs w:val="28"/>
        </w:rPr>
        <w:t>31</w:t>
      </w:r>
      <w:r>
        <w:rPr>
          <w:rFonts w:cs="仿宋_GB2312"/>
          <w:szCs w:val="28"/>
        </w:rPr>
        <w:t>座，电动汽车充电设施</w:t>
      </w:r>
      <w:r>
        <w:rPr>
          <w:rFonts w:hint="eastAsia" w:cs="仿宋_GB2312"/>
          <w:szCs w:val="28"/>
        </w:rPr>
        <w:t>181台</w:t>
      </w:r>
      <w:r>
        <w:rPr>
          <w:rFonts w:hint="eastAsia"/>
        </w:rPr>
        <w:t>（充电枪181个）</w:t>
      </w:r>
      <w:r>
        <w:rPr>
          <w:rFonts w:cs="仿宋_GB2312"/>
          <w:szCs w:val="28"/>
        </w:rPr>
        <w:t>。至2028年，</w:t>
      </w:r>
      <w:r>
        <w:rPr>
          <w:rFonts w:hint="eastAsia" w:cs="仿宋_GB2312"/>
          <w:szCs w:val="28"/>
        </w:rPr>
        <w:t>桓仁满族自治县</w:t>
      </w:r>
      <w:r>
        <w:rPr>
          <w:rFonts w:cs="仿宋_GB2312"/>
          <w:szCs w:val="28"/>
        </w:rPr>
        <w:t>共有公共充电站</w:t>
      </w:r>
      <w:r>
        <w:rPr>
          <w:rFonts w:hint="eastAsia" w:cs="仿宋_GB2312"/>
          <w:szCs w:val="28"/>
        </w:rPr>
        <w:t>34</w:t>
      </w:r>
      <w:r>
        <w:rPr>
          <w:rFonts w:cs="仿宋_GB2312"/>
          <w:szCs w:val="28"/>
        </w:rPr>
        <w:t>座，</w:t>
      </w:r>
      <w:r>
        <w:rPr>
          <w:rFonts w:hint="eastAsia" w:cs="仿宋_GB2312"/>
          <w:szCs w:val="28"/>
        </w:rPr>
        <w:t>充电桩212个</w:t>
      </w:r>
      <w:r>
        <w:rPr>
          <w:rFonts w:hint="eastAsia"/>
        </w:rPr>
        <w:t>（充电枪212个）</w:t>
      </w:r>
      <w:r>
        <w:rPr>
          <w:rFonts w:hint="eastAsia" w:cs="仿宋_GB2312"/>
          <w:szCs w:val="28"/>
        </w:rPr>
        <w:t>，</w:t>
      </w:r>
      <w:r>
        <w:rPr>
          <w:rFonts w:cs="仿宋_GB2312"/>
          <w:szCs w:val="28"/>
        </w:rPr>
        <w:t>满足区域内1393辆（预测值）电动汽车充电需求。</w:t>
      </w:r>
    </w:p>
    <w:p>
      <w:pPr>
        <w:ind w:firstLine="560"/>
        <w:rPr>
          <w:rFonts w:hint="eastAsia" w:cs="仿宋_GB2312"/>
          <w:b/>
          <w:bCs/>
          <w:szCs w:val="28"/>
        </w:rPr>
      </w:pPr>
      <w:r>
        <w:rPr>
          <w:rFonts w:hint="eastAsia" w:cs="仿宋_GB2312"/>
          <w:b/>
          <w:bCs/>
          <w:szCs w:val="28"/>
        </w:rPr>
        <w:t>（2）</w:t>
      </w:r>
      <w:r>
        <w:rPr>
          <w:rFonts w:cs="仿宋_GB2312"/>
          <w:b/>
          <w:bCs/>
          <w:szCs w:val="28"/>
        </w:rPr>
        <w:t>节能减排效益</w:t>
      </w:r>
    </w:p>
    <w:p>
      <w:pPr>
        <w:ind w:firstLine="560"/>
        <w:rPr>
          <w:rFonts w:hint="eastAsia" w:cs="仿宋_GB2312"/>
          <w:szCs w:val="28"/>
        </w:rPr>
      </w:pPr>
      <w:r>
        <w:rPr>
          <w:rFonts w:cs="仿宋_GB2312"/>
          <w:szCs w:val="28"/>
        </w:rPr>
        <w:t>12米公交车百公里油耗为42升，12米电动公交车百公里的电耗为126千瓦时。每辆车每公里可以减少污染物排放碳氢化合物为3.612克，一氧化碳为3.99克，二氧化碳为5.796克，颗粒物为0.42克。乘坐一次（按5公里计）电动公交车与传统公交车相比，可减排一氧化碳为20克，二氧化碳为29克，颗粒物为2克，碳氢化合物18克。</w:t>
      </w:r>
    </w:p>
    <w:p>
      <w:pPr>
        <w:ind w:firstLine="560"/>
        <w:rPr>
          <w:rFonts w:hint="eastAsia" w:cs="仿宋_GB2312"/>
          <w:szCs w:val="28"/>
        </w:rPr>
      </w:pPr>
      <w:r>
        <w:rPr>
          <w:rFonts w:cs="仿宋_GB2312"/>
          <w:szCs w:val="28"/>
        </w:rPr>
        <w:t>乘用车（包括出租车、公务车和私家车）百公里油耗为10升，电动乘用车百公里的电耗为30千瓦时。每公里可以减少污染物排放碳氢化合物为0.86克，一氧化碳为0.95克，二氧化碳为1.38克，颗粒物为0.1克。</w:t>
      </w:r>
    </w:p>
    <w:p>
      <w:pPr>
        <w:ind w:firstLine="560"/>
        <w:rPr>
          <w:rFonts w:hint="eastAsia" w:cs="仿宋_GB2312"/>
          <w:szCs w:val="28"/>
        </w:rPr>
      </w:pPr>
      <w:r>
        <w:rPr>
          <w:rFonts w:hint="eastAsia" w:cs="仿宋_GB2312"/>
          <w:szCs w:val="28"/>
        </w:rPr>
        <w:t>此外</w:t>
      </w:r>
      <w:r>
        <w:rPr>
          <w:rFonts w:cs="仿宋_GB2312"/>
          <w:szCs w:val="28"/>
        </w:rPr>
        <w:t>经有关部门测算，纯电动汽车的运行成本大约相当于传统汽油动力车的30%。按照普通家用汽车每年行驶8000公里、平均百公里油耗10升、每升汽油7.5元计算，年加油费为6000元左右。而一辆纯电动汽车每公里耗电仅为0.3度左右，以普通工商业电价每度电0.8438元计算，年充电费用总额约为2025元，每年可比普通燃油汽车节省3975元。</w:t>
      </w:r>
    </w:p>
    <w:p>
      <w:pPr>
        <w:ind w:firstLine="560"/>
        <w:rPr>
          <w:rFonts w:hint="eastAsia" w:cs="仿宋_GB2312"/>
          <w:szCs w:val="28"/>
        </w:rPr>
      </w:pPr>
      <w:r>
        <w:rPr>
          <w:rFonts w:cs="仿宋_GB2312"/>
          <w:szCs w:val="28"/>
        </w:rPr>
        <w:t>如果市民选择在夜间用电低谷时段(每日23时—次日</w:t>
      </w:r>
      <w:r>
        <w:rPr>
          <w:rFonts w:hint="eastAsia" w:cs="仿宋_GB2312"/>
          <w:szCs w:val="28"/>
        </w:rPr>
        <w:t>早上</w:t>
      </w:r>
      <w:r>
        <w:rPr>
          <w:rFonts w:cs="仿宋_GB2312"/>
          <w:szCs w:val="28"/>
        </w:rPr>
        <w:t>7点)充电，便可执行低谷电价每度电0.</w:t>
      </w:r>
      <w:r>
        <w:rPr>
          <w:rFonts w:hint="eastAsia" w:cs="仿宋_GB2312"/>
          <w:szCs w:val="28"/>
        </w:rPr>
        <w:t>2785</w:t>
      </w:r>
      <w:r>
        <w:rPr>
          <w:rFonts w:cs="仿宋_GB2312"/>
          <w:szCs w:val="28"/>
        </w:rPr>
        <w:t>元，充电费用更低，平均每年仅需3</w:t>
      </w:r>
      <w:r>
        <w:rPr>
          <w:rFonts w:hint="eastAsia" w:cs="仿宋_GB2312"/>
          <w:szCs w:val="28"/>
        </w:rPr>
        <w:t>86</w:t>
      </w:r>
      <w:r>
        <w:rPr>
          <w:rFonts w:cs="仿宋_GB2312"/>
          <w:szCs w:val="28"/>
        </w:rPr>
        <w:t>元。</w:t>
      </w:r>
      <w:r>
        <w:rPr>
          <w:rFonts w:hint="eastAsia" w:cs="仿宋_GB2312"/>
          <w:szCs w:val="28"/>
        </w:rPr>
        <w:tab/>
      </w:r>
    </w:p>
    <w:p>
      <w:pPr>
        <w:ind w:firstLine="560"/>
        <w:rPr>
          <w:rFonts w:hint="eastAsia" w:cs="仿宋_GB2312"/>
          <w:b/>
          <w:bCs/>
          <w:szCs w:val="28"/>
        </w:rPr>
      </w:pPr>
      <w:r>
        <w:rPr>
          <w:rFonts w:cs="仿宋_GB2312"/>
          <w:b/>
          <w:bCs/>
          <w:szCs w:val="28"/>
        </w:rPr>
        <w:t>（3）社会效益</w:t>
      </w:r>
    </w:p>
    <w:p>
      <w:pPr>
        <w:ind w:firstLine="560"/>
        <w:rPr>
          <w:rFonts w:hint="eastAsia" w:cs="仿宋_GB2312"/>
          <w:szCs w:val="28"/>
        </w:rPr>
      </w:pPr>
      <w:r>
        <w:rPr>
          <w:rFonts w:hint="eastAsia" w:cs="仿宋_GB2312"/>
          <w:szCs w:val="28"/>
        </w:rPr>
        <w:t>电动汽车的发展，将促进形成新的地区产业链。电动汽车行业作为新兴高科技产业，产业内部的分工和合作也是其取得发展的基本条件。电动汽车项目以整车装配为核心，项目上下游涉及的配套种类繁多，它的实施将会带动地区产业链的形成和发展。</w:t>
      </w:r>
    </w:p>
    <w:p>
      <w:pPr>
        <w:ind w:firstLine="560"/>
        <w:rPr>
          <w:rFonts w:hint="eastAsia" w:cs="仿宋_GB2312"/>
          <w:szCs w:val="28"/>
        </w:rPr>
      </w:pPr>
      <w:r>
        <w:rPr>
          <w:rFonts w:hint="eastAsia" w:cs="仿宋_GB2312"/>
          <w:szCs w:val="28"/>
        </w:rPr>
        <w:t>电动汽车产业上游主要包括各类零部件供应企业，如电动汽车中与电有关的核心系统部件制造企业，包括电机、控制器、电池、电池充电管理系统、充电机等的制造商等，甚至还包括了电器控制件中核心电子器件的生产等，如芯片组。即使是电动汽车企业自行生产部分核心组件，也可对地方技术研发和部件配套起到带动作用。因而随着一个大型电动汽车生产企业的建立，以其为核心，地区各类上游配套商的出现也会成为必然。电动汽车产业下游主要包括市场与技术推广、产品配套设施的建立等以及推动市场的启动，带动维修及服务业的同步发展。而下游产业的逐步建立无疑也将大大促成电动汽车产业链条的形成。同时，示范运行开展之后，可增加车辆运行的从业人员，在相关辅助行业的产业带动作用将更加明显。</w:t>
      </w:r>
    </w:p>
    <w:p>
      <w:pPr>
        <w:ind w:firstLine="560"/>
        <w:rPr>
          <w:rFonts w:hint="eastAsia" w:cs="仿宋_GB2312"/>
          <w:szCs w:val="28"/>
        </w:rPr>
      </w:pPr>
      <w:r>
        <w:rPr>
          <w:rFonts w:hint="eastAsia" w:cs="仿宋_GB2312"/>
          <w:szCs w:val="28"/>
        </w:rPr>
        <w:t>电动汽车技术将能够带动整个相关产业链发展。对国民经济具有带动效应。电动汽车的产业链主要包括零部件供应、整车制造和基础设施建设运营等三个组成部分。首先，汽车零部件制造业是机械工业的重要组成部分，除传统汽车零部件外，电动汽车的主要零部件还包括电池和动力系统，电动汽车的发展对进一步提升锂电池和电机这些零部件产业的技术水平有重要意义。其次，整车制造业也是中国国民经济的支柱产业之一，电动汽车能够为汽车产业增长带来新的活力。最后，充电及更换电池所需的基础设施是发展电动汽车的先决条件，基础设施的建设能够为经济增长带来显著的拉动作用。</w:t>
      </w:r>
    </w:p>
    <w:p>
      <w:pPr>
        <w:ind w:firstLine="560"/>
        <w:rPr>
          <w:rFonts w:hint="eastAsia" w:cs="仿宋_GB2312"/>
          <w:szCs w:val="28"/>
        </w:rPr>
      </w:pPr>
      <w:r>
        <w:rPr>
          <w:rFonts w:hint="eastAsia" w:cs="仿宋_GB2312"/>
          <w:szCs w:val="28"/>
        </w:rPr>
        <w:t>在合理引导本地企业的同时，加大国外企业产品的引入，通过市场开放、公平竞争的原则，快速提高本土企业的研发技术及性价比，提高整车及零部件产品的开发能力，持续改进产品技术并降低成本，形成节能与新能源汽车产业链，以节能与新能源汽车为突破口，带动桓仁满族自治县汽车产业的跨越式发展，同时也考虑为本土企业创造条件，让其能尽快达到走出去的能力。</w:t>
      </w:r>
      <w:r>
        <w:rPr>
          <w:rFonts w:hint="eastAsia" w:cs="仿宋_GB2312"/>
          <w:szCs w:val="28"/>
        </w:rPr>
        <w:br w:type="page"/>
      </w:r>
    </w:p>
    <w:p>
      <w:pPr>
        <w:pStyle w:val="3"/>
        <w:rPr>
          <w:color w:val="000000" w:themeColor="text1"/>
          <w14:textFill>
            <w14:solidFill>
              <w14:schemeClr w14:val="tx1"/>
            </w14:solidFill>
          </w14:textFill>
        </w:rPr>
      </w:pPr>
      <w:bookmarkStart w:id="89" w:name="_Toc31994"/>
      <w:r>
        <w:rPr>
          <w:color w:val="000000" w:themeColor="text1"/>
          <w14:textFill>
            <w14:solidFill>
              <w14:schemeClr w14:val="tx1"/>
            </w14:solidFill>
          </w14:textFill>
        </w:rPr>
        <w:t>保障措施</w:t>
      </w:r>
      <w:bookmarkEnd w:id="88"/>
      <w:bookmarkEnd w:id="89"/>
    </w:p>
    <w:p>
      <w:pPr>
        <w:ind w:firstLine="560"/>
        <w:rPr>
          <w:rFonts w:hint="eastAsia" w:cs="仿宋_GB2312"/>
          <w:szCs w:val="28"/>
        </w:rPr>
      </w:pPr>
      <w:r>
        <w:rPr>
          <w:rFonts w:cs="仿宋_GB2312"/>
          <w:szCs w:val="28"/>
        </w:rPr>
        <w:t>（1）机制保障</w:t>
      </w:r>
    </w:p>
    <w:p>
      <w:pPr>
        <w:ind w:firstLine="560"/>
        <w:rPr>
          <w:rFonts w:hint="eastAsia" w:cs="仿宋_GB2312"/>
          <w:szCs w:val="28"/>
        </w:rPr>
      </w:pPr>
      <w:r>
        <w:rPr>
          <w:rFonts w:hint="eastAsia" w:cs="仿宋_GB2312"/>
          <w:szCs w:val="28"/>
        </w:rPr>
        <w:t>积极谋求各职能部门单位支持，成立专门的协调组织机构，由县领导任组长，县发改局牵头，由县工信局、财政局、科技局、住建局、文旅局、交通局、自然资源局、生态环境局、市监局、综合执法局、公安局、供电公司、国资中心、乡镇政府等部门组成的电动汽车联席会，并形成常规、常态工作机制，协调电动汽车开发应用有关问题。</w:t>
      </w:r>
      <w:r>
        <w:rPr>
          <w:rFonts w:cs="仿宋_GB2312"/>
          <w:szCs w:val="28"/>
        </w:rPr>
        <w:t>（2）建设保障</w:t>
      </w:r>
    </w:p>
    <w:p>
      <w:pPr>
        <w:ind w:firstLine="560"/>
        <w:rPr>
          <w:rFonts w:hint="eastAsia" w:cs="仿宋_GB2312"/>
          <w:szCs w:val="28"/>
        </w:rPr>
      </w:pPr>
      <w:r>
        <w:rPr>
          <w:rFonts w:hint="eastAsia" w:cs="仿宋_GB2312"/>
          <w:szCs w:val="28"/>
        </w:rPr>
        <w:t>根据未来电动汽车发展的目标规模，预测好充换电服务需求，建立完善的充换电服务网络，充换电站规划结合基础设施规划并与城市总体规划和交通规划密切衔接。</w:t>
      </w:r>
    </w:p>
    <w:p>
      <w:pPr>
        <w:ind w:firstLine="560"/>
        <w:rPr>
          <w:rFonts w:hint="eastAsia" w:cs="仿宋_GB2312"/>
          <w:szCs w:val="28"/>
        </w:rPr>
      </w:pPr>
      <w:r>
        <w:rPr>
          <w:rFonts w:hint="eastAsia" w:cs="仿宋_GB2312"/>
          <w:szCs w:val="28"/>
        </w:rPr>
        <w:t>根据电动汽车技术性能与运营模式要求，以电动汽车电池能量密度、续航里程等技术参数为指标，合理布局，建设充换电站和充电桩等，为电动汽车提供能源供给保障的同时，引导电动汽车用户合理使用电能。</w:t>
      </w:r>
    </w:p>
    <w:p>
      <w:pPr>
        <w:ind w:firstLine="560"/>
        <w:rPr>
          <w:rFonts w:hint="eastAsia" w:cs="仿宋_GB2312"/>
          <w:szCs w:val="28"/>
        </w:rPr>
      </w:pPr>
      <w:r>
        <w:rPr>
          <w:rFonts w:hint="eastAsia" w:cs="仿宋_GB2312"/>
          <w:szCs w:val="28"/>
        </w:rPr>
        <w:t>建设时应充分考虑桓仁地区电力负荷特性、充电设备所在配电网运行特点和配电容量。</w:t>
      </w:r>
    </w:p>
    <w:p>
      <w:pPr>
        <w:ind w:firstLine="560"/>
        <w:rPr>
          <w:rFonts w:hint="eastAsia" w:cs="仿宋_GB2312"/>
          <w:szCs w:val="28"/>
        </w:rPr>
      </w:pPr>
      <w:r>
        <w:rPr>
          <w:rFonts w:hint="eastAsia" w:cs="仿宋_GB2312"/>
          <w:szCs w:val="28"/>
        </w:rPr>
        <w:t>充电桩与充换电站相结合，充电桩建设建议结合小区配电室规划建设或选择在公司营业场所停车场、公共建筑（商场、写字楼等）和住宅小区等公共停车场或充换电站内安装；充换电站站址建议选择在公司所属变电站、公共停车场等公共区域或公交、邮政等集团车队的专用停车区域。</w:t>
      </w:r>
    </w:p>
    <w:p>
      <w:pPr>
        <w:ind w:firstLine="560"/>
        <w:rPr>
          <w:rFonts w:hint="eastAsia" w:cs="仿宋_GB2312"/>
          <w:szCs w:val="28"/>
        </w:rPr>
      </w:pPr>
      <w:r>
        <w:rPr>
          <w:rFonts w:hint="eastAsia" w:cs="仿宋_GB2312"/>
          <w:szCs w:val="28"/>
        </w:rPr>
        <w:t>城市规划按照电动汽车的发展，进行充电站建设规划，对新区规划、房地产开发和公共交通等在招标文件中明确提出要求</w:t>
      </w:r>
      <w:r>
        <w:rPr>
          <w:rFonts w:cs="仿宋_GB2312"/>
          <w:szCs w:val="28"/>
        </w:rPr>
        <w:t>。</w:t>
      </w:r>
    </w:p>
    <w:p>
      <w:pPr>
        <w:ind w:firstLine="560"/>
        <w:rPr>
          <w:rFonts w:hint="eastAsia" w:cs="仿宋_GB2312"/>
          <w:szCs w:val="28"/>
        </w:rPr>
      </w:pPr>
      <w:r>
        <w:rPr>
          <w:rFonts w:cs="仿宋_GB2312"/>
          <w:szCs w:val="28"/>
        </w:rPr>
        <w:t>（3）政策保障</w:t>
      </w:r>
    </w:p>
    <w:p>
      <w:pPr>
        <w:ind w:firstLine="560"/>
        <w:rPr>
          <w:rFonts w:hint="eastAsia" w:cs="仿宋_GB2312"/>
          <w:szCs w:val="28"/>
        </w:rPr>
      </w:pPr>
      <w:r>
        <w:rPr>
          <w:rFonts w:cs="仿宋_GB2312"/>
          <w:szCs w:val="28"/>
        </w:rPr>
        <w:t>出台相关政策法规鼓励电动汽车使用，例如电动汽车减排经济补贴、电卡充值优惠；给予公共充电设施建设运营补贴。</w:t>
      </w:r>
    </w:p>
    <w:p>
      <w:pPr>
        <w:ind w:firstLine="560"/>
        <w:rPr>
          <w:rFonts w:hint="eastAsia" w:cs="仿宋_GB2312"/>
          <w:szCs w:val="28"/>
        </w:rPr>
      </w:pPr>
      <w:r>
        <w:rPr>
          <w:rFonts w:cs="仿宋_GB2312"/>
          <w:szCs w:val="28"/>
        </w:rPr>
        <w:t>（4）运营保障</w:t>
      </w:r>
    </w:p>
    <w:p>
      <w:pPr>
        <w:ind w:firstLine="560"/>
        <w:rPr>
          <w:rFonts w:hint="eastAsia"/>
        </w:rPr>
        <w:sectPr>
          <w:footerReference r:id="rId7" w:type="default"/>
          <w:pgSz w:w="11906" w:h="16838"/>
          <w:pgMar w:top="1440" w:right="1800" w:bottom="1440" w:left="1800" w:header="851" w:footer="992" w:gutter="0"/>
          <w:pgNumType w:start="1"/>
          <w:cols w:space="425" w:num="1"/>
          <w:docGrid w:type="lines" w:linePitch="312" w:charSpace="0"/>
        </w:sectPr>
      </w:pPr>
      <w:r>
        <w:rPr>
          <w:rFonts w:cs="仿宋_GB2312"/>
          <w:szCs w:val="28"/>
        </w:rPr>
        <w:t>停车优惠方面，针对公共停车场的停车位推出惠民政策，积极鼓励、引导市民到停车场充电位停车充电。充电车位占用，针对主街道两边的停车位布点公共桩，结合油车占位问题出台监控和奖惩措施，如收取差异性停车费，引导用户有序停车</w:t>
      </w:r>
      <w:r>
        <w:rPr>
          <w:rFonts w:hint="eastAsia" w:cs="仿宋_GB2312"/>
          <w:szCs w:val="28"/>
        </w:rPr>
        <w:t>。</w:t>
      </w:r>
    </w:p>
    <w:p>
      <w:pPr>
        <w:jc w:val="center"/>
        <w:outlineLvl w:val="0"/>
        <w:rPr>
          <w:rFonts w:hint="eastAsia"/>
          <w:b/>
          <w:bCs/>
        </w:rPr>
      </w:pPr>
      <w:bookmarkStart w:id="90" w:name="_Toc21824"/>
      <w:r>
        <w:rPr>
          <w:rFonts w:hint="eastAsia"/>
          <w:b/>
          <w:bCs/>
        </w:rPr>
        <w:t>附表1：项目清册</w:t>
      </w:r>
      <w:bookmarkEnd w:id="90"/>
    </w:p>
    <w:tbl>
      <w:tblPr>
        <w:tblStyle w:val="30"/>
        <w:tblW w:w="1394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28" w:type="dxa"/>
          <w:left w:w="28" w:type="dxa"/>
          <w:bottom w:w="28" w:type="dxa"/>
          <w:right w:w="28" w:type="dxa"/>
        </w:tblCellMar>
      </w:tblPr>
      <w:tblGrid>
        <w:gridCol w:w="557"/>
        <w:gridCol w:w="3575"/>
        <w:gridCol w:w="4505"/>
        <w:gridCol w:w="851"/>
        <w:gridCol w:w="567"/>
        <w:gridCol w:w="708"/>
        <w:gridCol w:w="872"/>
        <w:gridCol w:w="801"/>
        <w:gridCol w:w="752"/>
        <w:gridCol w:w="75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557" w:type="dxa"/>
            <w:vMerge w:val="restart"/>
            <w:shd w:val="clear" w:color="auto" w:fill="D9D9D9"/>
            <w:noWrap/>
            <w:vAlign w:val="center"/>
          </w:tcPr>
          <w:p>
            <w:pPr>
              <w:spacing w:line="240" w:lineRule="auto"/>
              <w:jc w:val="center"/>
              <w:rPr>
                <w:rFonts w:hint="eastAsia"/>
                <w:b/>
                <w:sz w:val="19"/>
              </w:rPr>
            </w:pPr>
            <w:r>
              <w:rPr>
                <w:rFonts w:hint="eastAsia"/>
                <w:b/>
                <w:sz w:val="19"/>
              </w:rPr>
              <w:t>序号</w:t>
            </w:r>
          </w:p>
        </w:tc>
        <w:tc>
          <w:tcPr>
            <w:tcW w:w="3575" w:type="dxa"/>
            <w:vMerge w:val="restart"/>
            <w:shd w:val="clear" w:color="auto" w:fill="D9D9D9"/>
            <w:noWrap/>
            <w:vAlign w:val="center"/>
          </w:tcPr>
          <w:p>
            <w:pPr>
              <w:spacing w:line="240" w:lineRule="auto"/>
              <w:jc w:val="center"/>
              <w:rPr>
                <w:rFonts w:hint="eastAsia"/>
                <w:b/>
                <w:sz w:val="19"/>
              </w:rPr>
            </w:pPr>
            <w:r>
              <w:rPr>
                <w:rFonts w:hint="eastAsia"/>
                <w:b/>
                <w:sz w:val="19"/>
              </w:rPr>
              <w:t>名称</w:t>
            </w:r>
          </w:p>
        </w:tc>
        <w:tc>
          <w:tcPr>
            <w:tcW w:w="4505" w:type="dxa"/>
            <w:vMerge w:val="restart"/>
            <w:shd w:val="clear" w:color="auto" w:fill="D9D9D9"/>
            <w:noWrap/>
            <w:vAlign w:val="center"/>
          </w:tcPr>
          <w:p>
            <w:pPr>
              <w:spacing w:line="240" w:lineRule="auto"/>
              <w:jc w:val="center"/>
              <w:rPr>
                <w:rFonts w:hint="eastAsia"/>
                <w:b/>
                <w:sz w:val="19"/>
              </w:rPr>
            </w:pPr>
            <w:r>
              <w:rPr>
                <w:rFonts w:hint="eastAsia"/>
                <w:b/>
                <w:sz w:val="19"/>
              </w:rPr>
              <w:t>位置</w:t>
            </w:r>
          </w:p>
        </w:tc>
        <w:tc>
          <w:tcPr>
            <w:tcW w:w="851" w:type="dxa"/>
            <w:vMerge w:val="restart"/>
            <w:shd w:val="clear" w:color="auto" w:fill="D9D9D9"/>
            <w:noWrap/>
            <w:vAlign w:val="center"/>
          </w:tcPr>
          <w:p>
            <w:pPr>
              <w:spacing w:line="240" w:lineRule="auto"/>
              <w:jc w:val="center"/>
              <w:rPr>
                <w:rFonts w:hint="eastAsia"/>
                <w:b/>
                <w:sz w:val="19"/>
              </w:rPr>
            </w:pPr>
            <w:r>
              <w:rPr>
                <w:rFonts w:hint="eastAsia"/>
                <w:b/>
                <w:sz w:val="19"/>
              </w:rPr>
              <w:t>充电设施类型</w:t>
            </w:r>
          </w:p>
        </w:tc>
        <w:tc>
          <w:tcPr>
            <w:tcW w:w="567" w:type="dxa"/>
            <w:vMerge w:val="restart"/>
            <w:shd w:val="clear" w:color="auto" w:fill="D9D9D9"/>
            <w:noWrap/>
            <w:vAlign w:val="center"/>
          </w:tcPr>
          <w:p>
            <w:pPr>
              <w:spacing w:line="240" w:lineRule="auto"/>
              <w:jc w:val="center"/>
              <w:rPr>
                <w:rFonts w:hint="eastAsia"/>
                <w:b/>
                <w:sz w:val="19"/>
              </w:rPr>
            </w:pPr>
            <w:r>
              <w:rPr>
                <w:rFonts w:hint="eastAsia"/>
                <w:b/>
                <w:sz w:val="19"/>
              </w:rPr>
              <w:t>建设类型</w:t>
            </w:r>
          </w:p>
        </w:tc>
        <w:tc>
          <w:tcPr>
            <w:tcW w:w="1580" w:type="dxa"/>
            <w:gridSpan w:val="2"/>
            <w:shd w:val="clear" w:color="auto" w:fill="D9D9D9"/>
            <w:vAlign w:val="center"/>
          </w:tcPr>
          <w:p>
            <w:pPr>
              <w:spacing w:line="240" w:lineRule="auto"/>
              <w:jc w:val="center"/>
              <w:rPr>
                <w:rFonts w:hint="eastAsia"/>
                <w:b/>
                <w:sz w:val="19"/>
              </w:rPr>
            </w:pPr>
            <w:r>
              <w:rPr>
                <w:rFonts w:hint="eastAsia"/>
                <w:b/>
                <w:sz w:val="19"/>
              </w:rPr>
              <w:t>设置充电基础设施数量（个）</w:t>
            </w:r>
          </w:p>
        </w:tc>
        <w:tc>
          <w:tcPr>
            <w:tcW w:w="801" w:type="dxa"/>
            <w:vMerge w:val="restart"/>
            <w:shd w:val="clear" w:color="auto" w:fill="D9D9D9"/>
            <w:noWrap/>
            <w:vAlign w:val="center"/>
          </w:tcPr>
          <w:p>
            <w:pPr>
              <w:spacing w:line="240" w:lineRule="auto"/>
              <w:jc w:val="center"/>
              <w:rPr>
                <w:rFonts w:hint="eastAsia"/>
                <w:b/>
                <w:sz w:val="19"/>
              </w:rPr>
            </w:pPr>
            <w:r>
              <w:rPr>
                <w:rFonts w:hint="eastAsia"/>
                <w:b/>
                <w:sz w:val="19"/>
              </w:rPr>
              <w:t>建设</w:t>
            </w:r>
          </w:p>
          <w:p>
            <w:pPr>
              <w:spacing w:line="240" w:lineRule="auto"/>
              <w:jc w:val="center"/>
              <w:rPr>
                <w:rFonts w:hint="eastAsia"/>
                <w:b/>
                <w:sz w:val="19"/>
              </w:rPr>
            </w:pPr>
            <w:r>
              <w:rPr>
                <w:rFonts w:hint="eastAsia"/>
                <w:b/>
                <w:sz w:val="19"/>
              </w:rPr>
              <w:t>年份</w:t>
            </w:r>
          </w:p>
        </w:tc>
        <w:tc>
          <w:tcPr>
            <w:tcW w:w="752" w:type="dxa"/>
            <w:vMerge w:val="restart"/>
            <w:shd w:val="clear" w:color="auto" w:fill="D9D9D9"/>
            <w:noWrap/>
            <w:vAlign w:val="center"/>
          </w:tcPr>
          <w:p>
            <w:pPr>
              <w:spacing w:line="240" w:lineRule="auto"/>
              <w:jc w:val="center"/>
              <w:rPr>
                <w:rFonts w:hint="eastAsia"/>
                <w:b/>
                <w:sz w:val="19"/>
              </w:rPr>
            </w:pPr>
            <w:r>
              <w:rPr>
                <w:rFonts w:hint="eastAsia"/>
                <w:b/>
                <w:sz w:val="19"/>
              </w:rPr>
              <w:t>经度</w:t>
            </w:r>
          </w:p>
        </w:tc>
        <w:tc>
          <w:tcPr>
            <w:tcW w:w="752" w:type="dxa"/>
            <w:vMerge w:val="restart"/>
            <w:shd w:val="clear" w:color="auto" w:fill="D9D9D9"/>
            <w:noWrap/>
            <w:vAlign w:val="center"/>
          </w:tcPr>
          <w:p>
            <w:pPr>
              <w:spacing w:line="240" w:lineRule="auto"/>
              <w:jc w:val="center"/>
              <w:rPr>
                <w:rFonts w:hint="eastAsia"/>
                <w:b/>
                <w:sz w:val="19"/>
              </w:rPr>
            </w:pPr>
            <w:r>
              <w:rPr>
                <w:rFonts w:hint="eastAsia"/>
                <w:b/>
                <w:sz w:val="19"/>
              </w:rPr>
              <w:t>纬度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557" w:type="dxa"/>
            <w:vMerge w:val="continue"/>
            <w:shd w:val="clear" w:color="auto" w:fill="D9D9D9"/>
            <w:noWrap/>
            <w:vAlign w:val="center"/>
          </w:tcPr>
          <w:p>
            <w:pPr>
              <w:spacing w:line="240" w:lineRule="auto"/>
              <w:jc w:val="center"/>
              <w:rPr>
                <w:rFonts w:hint="eastAsia"/>
                <w:b/>
                <w:sz w:val="19"/>
              </w:rPr>
            </w:pPr>
          </w:p>
        </w:tc>
        <w:tc>
          <w:tcPr>
            <w:tcW w:w="3575" w:type="dxa"/>
            <w:vMerge w:val="continue"/>
            <w:shd w:val="clear" w:color="auto" w:fill="D9D9D9"/>
            <w:noWrap/>
            <w:vAlign w:val="center"/>
          </w:tcPr>
          <w:p>
            <w:pPr>
              <w:spacing w:line="240" w:lineRule="auto"/>
              <w:jc w:val="center"/>
              <w:rPr>
                <w:rFonts w:hint="eastAsia"/>
                <w:b/>
                <w:sz w:val="19"/>
              </w:rPr>
            </w:pPr>
          </w:p>
        </w:tc>
        <w:tc>
          <w:tcPr>
            <w:tcW w:w="4505" w:type="dxa"/>
            <w:vMerge w:val="continue"/>
            <w:shd w:val="clear" w:color="auto" w:fill="D9D9D9"/>
            <w:noWrap/>
            <w:vAlign w:val="center"/>
          </w:tcPr>
          <w:p>
            <w:pPr>
              <w:spacing w:line="240" w:lineRule="auto"/>
              <w:jc w:val="center"/>
              <w:rPr>
                <w:rFonts w:hint="eastAsia"/>
                <w:b/>
                <w:sz w:val="19"/>
              </w:rPr>
            </w:pPr>
          </w:p>
        </w:tc>
        <w:tc>
          <w:tcPr>
            <w:tcW w:w="851" w:type="dxa"/>
            <w:vMerge w:val="continue"/>
            <w:shd w:val="clear" w:color="auto" w:fill="D9D9D9"/>
            <w:vAlign w:val="center"/>
          </w:tcPr>
          <w:p>
            <w:pPr>
              <w:spacing w:line="240" w:lineRule="auto"/>
              <w:jc w:val="center"/>
              <w:rPr>
                <w:rFonts w:hint="eastAsia"/>
                <w:b/>
                <w:sz w:val="19"/>
              </w:rPr>
            </w:pPr>
          </w:p>
        </w:tc>
        <w:tc>
          <w:tcPr>
            <w:tcW w:w="567" w:type="dxa"/>
            <w:vMerge w:val="continue"/>
            <w:shd w:val="clear" w:color="auto" w:fill="D9D9D9"/>
            <w:vAlign w:val="center"/>
          </w:tcPr>
          <w:p>
            <w:pPr>
              <w:spacing w:line="240" w:lineRule="auto"/>
              <w:jc w:val="center"/>
              <w:rPr>
                <w:rFonts w:hint="eastAsia"/>
                <w:b/>
                <w:sz w:val="19"/>
              </w:rPr>
            </w:pPr>
          </w:p>
        </w:tc>
        <w:tc>
          <w:tcPr>
            <w:tcW w:w="708" w:type="dxa"/>
            <w:shd w:val="clear" w:color="auto" w:fill="D9D9D9"/>
            <w:vAlign w:val="center"/>
          </w:tcPr>
          <w:p>
            <w:pPr>
              <w:spacing w:line="240" w:lineRule="auto"/>
              <w:jc w:val="center"/>
              <w:rPr>
                <w:rFonts w:hint="eastAsia"/>
                <w:b/>
                <w:sz w:val="19"/>
              </w:rPr>
            </w:pPr>
            <w:r>
              <w:rPr>
                <w:rFonts w:hint="eastAsia"/>
                <w:b/>
                <w:sz w:val="19"/>
              </w:rPr>
              <w:t>快充</w:t>
            </w:r>
          </w:p>
        </w:tc>
        <w:tc>
          <w:tcPr>
            <w:tcW w:w="872" w:type="dxa"/>
            <w:shd w:val="clear" w:color="auto" w:fill="D9D9D9"/>
            <w:vAlign w:val="center"/>
          </w:tcPr>
          <w:p>
            <w:pPr>
              <w:spacing w:line="240" w:lineRule="auto"/>
              <w:jc w:val="center"/>
              <w:rPr>
                <w:rFonts w:hint="eastAsia"/>
                <w:b/>
                <w:sz w:val="19"/>
              </w:rPr>
            </w:pPr>
            <w:r>
              <w:rPr>
                <w:rFonts w:hint="eastAsia"/>
                <w:b/>
                <w:sz w:val="19"/>
              </w:rPr>
              <w:t>慢充</w:t>
            </w:r>
          </w:p>
        </w:tc>
        <w:tc>
          <w:tcPr>
            <w:tcW w:w="801" w:type="dxa"/>
            <w:vMerge w:val="continue"/>
            <w:shd w:val="clear" w:color="auto" w:fill="D9D9D9"/>
            <w:vAlign w:val="center"/>
          </w:tcPr>
          <w:p>
            <w:pPr>
              <w:spacing w:line="240" w:lineRule="auto"/>
              <w:jc w:val="center"/>
              <w:rPr>
                <w:rFonts w:hint="eastAsia"/>
                <w:b/>
                <w:sz w:val="19"/>
              </w:rPr>
            </w:pPr>
          </w:p>
        </w:tc>
        <w:tc>
          <w:tcPr>
            <w:tcW w:w="752" w:type="dxa"/>
            <w:vMerge w:val="continue"/>
            <w:shd w:val="clear" w:color="auto" w:fill="D9D9D9"/>
            <w:noWrap/>
            <w:vAlign w:val="center"/>
          </w:tcPr>
          <w:p>
            <w:pPr>
              <w:spacing w:line="240" w:lineRule="auto"/>
              <w:jc w:val="center"/>
              <w:rPr>
                <w:rFonts w:hint="eastAsia"/>
                <w:b/>
                <w:sz w:val="19"/>
              </w:rPr>
            </w:pPr>
          </w:p>
        </w:tc>
        <w:tc>
          <w:tcPr>
            <w:tcW w:w="752" w:type="dxa"/>
            <w:vMerge w:val="continue"/>
            <w:shd w:val="clear" w:color="auto" w:fill="D9D9D9"/>
            <w:noWrap/>
            <w:vAlign w:val="center"/>
          </w:tcPr>
          <w:p>
            <w:pPr>
              <w:spacing w:line="240" w:lineRule="auto"/>
              <w:jc w:val="center"/>
              <w:rPr>
                <w:rFonts w:hint="eastAsia"/>
                <w:b/>
                <w:sz w:val="19"/>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w:t>
            </w:r>
          </w:p>
        </w:tc>
        <w:tc>
          <w:tcPr>
            <w:tcW w:w="3575" w:type="dxa"/>
            <w:shd w:val="clear" w:color="auto" w:fill="auto"/>
            <w:noWrap/>
            <w:vAlign w:val="center"/>
          </w:tcPr>
          <w:p>
            <w:pPr>
              <w:spacing w:line="240" w:lineRule="auto"/>
              <w:jc w:val="center"/>
              <w:rPr>
                <w:rFonts w:hint="eastAsia"/>
                <w:sz w:val="19"/>
              </w:rPr>
            </w:pPr>
            <w:r>
              <w:rPr>
                <w:rFonts w:hint="eastAsia"/>
                <w:sz w:val="19"/>
              </w:rPr>
              <w:t>五女山山城</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桓仁满族自治县北侧8公里处浑江西北岸</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18</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2024</w:t>
            </w:r>
          </w:p>
        </w:tc>
        <w:tc>
          <w:tcPr>
            <w:tcW w:w="752" w:type="dxa"/>
            <w:shd w:val="clear" w:color="auto" w:fill="auto"/>
            <w:noWrap/>
            <w:vAlign w:val="center"/>
          </w:tcPr>
          <w:p>
            <w:pPr>
              <w:spacing w:line="240" w:lineRule="auto"/>
              <w:jc w:val="center"/>
              <w:rPr>
                <w:rFonts w:hint="eastAsia"/>
                <w:sz w:val="19"/>
              </w:rPr>
            </w:pPr>
            <w:r>
              <w:rPr>
                <w:rFonts w:hint="eastAsia"/>
                <w:sz w:val="19"/>
              </w:rPr>
              <w:t>125.3868088</w:t>
            </w:r>
          </w:p>
        </w:tc>
        <w:tc>
          <w:tcPr>
            <w:tcW w:w="752" w:type="dxa"/>
            <w:shd w:val="clear" w:color="auto" w:fill="auto"/>
            <w:noWrap/>
            <w:vAlign w:val="center"/>
          </w:tcPr>
          <w:p>
            <w:pPr>
              <w:spacing w:line="240" w:lineRule="auto"/>
              <w:jc w:val="center"/>
              <w:rPr>
                <w:rFonts w:hint="eastAsia"/>
                <w:sz w:val="19"/>
              </w:rPr>
            </w:pPr>
            <w:r>
              <w:rPr>
                <w:rFonts w:hint="eastAsia"/>
                <w:sz w:val="19"/>
              </w:rPr>
              <w:t>41.29551986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2</w:t>
            </w:r>
          </w:p>
        </w:tc>
        <w:tc>
          <w:tcPr>
            <w:tcW w:w="3575" w:type="dxa"/>
            <w:shd w:val="clear" w:color="auto" w:fill="auto"/>
            <w:noWrap/>
            <w:vAlign w:val="center"/>
          </w:tcPr>
          <w:p>
            <w:pPr>
              <w:spacing w:line="240" w:lineRule="auto"/>
              <w:jc w:val="center"/>
              <w:rPr>
                <w:rFonts w:hint="eastAsia"/>
                <w:sz w:val="19"/>
              </w:rPr>
            </w:pPr>
            <w:r>
              <w:rPr>
                <w:rFonts w:hint="eastAsia"/>
                <w:sz w:val="19"/>
              </w:rPr>
              <w:t>大雅河漂流景区</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桓仁满族自治县普乐堡镇老漫子乡</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15</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2024</w:t>
            </w:r>
          </w:p>
        </w:tc>
        <w:tc>
          <w:tcPr>
            <w:tcW w:w="752" w:type="dxa"/>
            <w:shd w:val="clear" w:color="auto" w:fill="auto"/>
            <w:noWrap/>
            <w:vAlign w:val="center"/>
          </w:tcPr>
          <w:p>
            <w:pPr>
              <w:spacing w:line="240" w:lineRule="auto"/>
              <w:jc w:val="center"/>
              <w:rPr>
                <w:rFonts w:hint="eastAsia"/>
                <w:sz w:val="19"/>
              </w:rPr>
            </w:pPr>
            <w:r>
              <w:rPr>
                <w:rFonts w:hint="eastAsia"/>
                <w:sz w:val="19"/>
              </w:rPr>
              <w:t>125.0808152</w:t>
            </w:r>
          </w:p>
        </w:tc>
        <w:tc>
          <w:tcPr>
            <w:tcW w:w="752" w:type="dxa"/>
            <w:shd w:val="clear" w:color="auto" w:fill="auto"/>
            <w:noWrap/>
            <w:vAlign w:val="center"/>
          </w:tcPr>
          <w:p>
            <w:pPr>
              <w:spacing w:line="240" w:lineRule="auto"/>
              <w:jc w:val="center"/>
              <w:rPr>
                <w:rFonts w:hint="eastAsia"/>
                <w:sz w:val="19"/>
              </w:rPr>
            </w:pPr>
            <w:r>
              <w:rPr>
                <w:rFonts w:hint="eastAsia"/>
                <w:sz w:val="19"/>
              </w:rPr>
              <w:t>41.16232003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3</w:t>
            </w:r>
          </w:p>
        </w:tc>
        <w:tc>
          <w:tcPr>
            <w:tcW w:w="3575" w:type="dxa"/>
            <w:shd w:val="clear" w:color="auto" w:fill="auto"/>
            <w:noWrap/>
            <w:vAlign w:val="center"/>
          </w:tcPr>
          <w:p>
            <w:pPr>
              <w:spacing w:line="240" w:lineRule="auto"/>
              <w:jc w:val="center"/>
              <w:rPr>
                <w:rFonts w:hint="eastAsia"/>
                <w:sz w:val="19"/>
              </w:rPr>
            </w:pPr>
            <w:r>
              <w:rPr>
                <w:rFonts w:hint="eastAsia"/>
                <w:sz w:val="19"/>
              </w:rPr>
              <w:t>枫林谷森林公园</w:t>
            </w:r>
          </w:p>
        </w:tc>
        <w:tc>
          <w:tcPr>
            <w:tcW w:w="4505" w:type="dxa"/>
            <w:shd w:val="clear" w:color="auto" w:fill="auto"/>
            <w:noWrap/>
            <w:vAlign w:val="center"/>
          </w:tcPr>
          <w:p>
            <w:pPr>
              <w:spacing w:line="240" w:lineRule="auto"/>
              <w:jc w:val="center"/>
              <w:rPr>
                <w:rFonts w:hint="eastAsia"/>
                <w:sz w:val="19"/>
              </w:rPr>
            </w:pPr>
            <w:r>
              <w:rPr>
                <w:rFonts w:hint="eastAsia"/>
                <w:sz w:val="19"/>
              </w:rPr>
              <w:t>本溪市桓仁满族自治县向阳乡G11</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18</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2027</w:t>
            </w:r>
          </w:p>
        </w:tc>
        <w:tc>
          <w:tcPr>
            <w:tcW w:w="752" w:type="dxa"/>
            <w:shd w:val="clear" w:color="auto" w:fill="auto"/>
            <w:noWrap/>
            <w:vAlign w:val="center"/>
          </w:tcPr>
          <w:p>
            <w:pPr>
              <w:spacing w:line="240" w:lineRule="auto"/>
              <w:jc w:val="center"/>
              <w:rPr>
                <w:rFonts w:hint="eastAsia"/>
                <w:sz w:val="19"/>
              </w:rPr>
            </w:pPr>
            <w:r>
              <w:rPr>
                <w:rFonts w:hint="eastAsia"/>
                <w:sz w:val="19"/>
              </w:rPr>
              <w:t>125.2186338</w:t>
            </w:r>
          </w:p>
        </w:tc>
        <w:tc>
          <w:tcPr>
            <w:tcW w:w="752" w:type="dxa"/>
            <w:shd w:val="clear" w:color="auto" w:fill="auto"/>
            <w:noWrap/>
            <w:vAlign w:val="center"/>
          </w:tcPr>
          <w:p>
            <w:pPr>
              <w:spacing w:line="240" w:lineRule="auto"/>
              <w:jc w:val="center"/>
              <w:rPr>
                <w:rFonts w:hint="eastAsia"/>
                <w:sz w:val="19"/>
              </w:rPr>
            </w:pPr>
            <w:r>
              <w:rPr>
                <w:rFonts w:hint="eastAsia"/>
                <w:sz w:val="19"/>
              </w:rPr>
              <w:t>41.12479825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4</w:t>
            </w:r>
          </w:p>
        </w:tc>
        <w:tc>
          <w:tcPr>
            <w:tcW w:w="3575" w:type="dxa"/>
            <w:shd w:val="clear" w:color="auto" w:fill="auto"/>
            <w:noWrap/>
            <w:vAlign w:val="center"/>
          </w:tcPr>
          <w:p>
            <w:pPr>
              <w:spacing w:line="240" w:lineRule="auto"/>
              <w:jc w:val="center"/>
              <w:rPr>
                <w:rFonts w:hint="eastAsia"/>
                <w:sz w:val="19"/>
              </w:rPr>
            </w:pPr>
            <w:r>
              <w:rPr>
                <w:rFonts w:hint="eastAsia"/>
                <w:sz w:val="19"/>
              </w:rPr>
              <w:t>虎谷峡景区</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桓仁满族自治县向阳乡和平村8号</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15</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2025</w:t>
            </w:r>
          </w:p>
        </w:tc>
        <w:tc>
          <w:tcPr>
            <w:tcW w:w="752" w:type="dxa"/>
            <w:shd w:val="clear" w:color="auto" w:fill="auto"/>
            <w:noWrap/>
            <w:vAlign w:val="center"/>
          </w:tcPr>
          <w:p>
            <w:pPr>
              <w:spacing w:line="240" w:lineRule="auto"/>
              <w:jc w:val="center"/>
              <w:rPr>
                <w:rFonts w:hint="eastAsia"/>
                <w:sz w:val="19"/>
              </w:rPr>
            </w:pPr>
            <w:r>
              <w:rPr>
                <w:rFonts w:hint="eastAsia"/>
                <w:sz w:val="19"/>
              </w:rPr>
              <w:t>125.3128528</w:t>
            </w:r>
          </w:p>
        </w:tc>
        <w:tc>
          <w:tcPr>
            <w:tcW w:w="752" w:type="dxa"/>
            <w:shd w:val="clear" w:color="auto" w:fill="auto"/>
            <w:noWrap/>
            <w:vAlign w:val="center"/>
          </w:tcPr>
          <w:p>
            <w:pPr>
              <w:spacing w:line="240" w:lineRule="auto"/>
              <w:jc w:val="center"/>
              <w:rPr>
                <w:rFonts w:hint="eastAsia"/>
                <w:sz w:val="19"/>
              </w:rPr>
            </w:pPr>
            <w:r>
              <w:rPr>
                <w:rFonts w:hint="eastAsia"/>
                <w:sz w:val="19"/>
              </w:rPr>
              <w:t>41.12988331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5</w:t>
            </w:r>
          </w:p>
        </w:tc>
        <w:tc>
          <w:tcPr>
            <w:tcW w:w="3575" w:type="dxa"/>
            <w:shd w:val="clear" w:color="auto" w:fill="auto"/>
            <w:noWrap/>
            <w:vAlign w:val="center"/>
          </w:tcPr>
          <w:p>
            <w:pPr>
              <w:spacing w:line="240" w:lineRule="auto"/>
              <w:jc w:val="center"/>
              <w:rPr>
                <w:rFonts w:hint="eastAsia"/>
                <w:sz w:val="19"/>
              </w:rPr>
            </w:pPr>
            <w:r>
              <w:rPr>
                <w:rFonts w:hint="eastAsia"/>
                <w:sz w:val="19"/>
              </w:rPr>
              <w:t>望天洞景区</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桓仁满族自治县201国道旁</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15</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2026</w:t>
            </w:r>
          </w:p>
        </w:tc>
        <w:tc>
          <w:tcPr>
            <w:tcW w:w="752" w:type="dxa"/>
            <w:shd w:val="clear" w:color="auto" w:fill="auto"/>
            <w:noWrap/>
            <w:vAlign w:val="center"/>
          </w:tcPr>
          <w:p>
            <w:pPr>
              <w:spacing w:line="240" w:lineRule="auto"/>
              <w:jc w:val="center"/>
              <w:rPr>
                <w:rFonts w:hint="eastAsia"/>
                <w:sz w:val="19"/>
              </w:rPr>
            </w:pPr>
            <w:r>
              <w:rPr>
                <w:rFonts w:hint="eastAsia"/>
                <w:sz w:val="19"/>
              </w:rPr>
              <w:t>125.2588139</w:t>
            </w:r>
          </w:p>
        </w:tc>
        <w:tc>
          <w:tcPr>
            <w:tcW w:w="752" w:type="dxa"/>
            <w:shd w:val="clear" w:color="auto" w:fill="auto"/>
            <w:noWrap/>
            <w:vAlign w:val="center"/>
          </w:tcPr>
          <w:p>
            <w:pPr>
              <w:spacing w:line="240" w:lineRule="auto"/>
              <w:jc w:val="center"/>
              <w:rPr>
                <w:rFonts w:hint="eastAsia"/>
                <w:sz w:val="19"/>
              </w:rPr>
            </w:pPr>
            <w:r>
              <w:rPr>
                <w:rFonts w:hint="eastAsia"/>
                <w:sz w:val="19"/>
              </w:rPr>
              <w:t>41.19046257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6</w:t>
            </w:r>
          </w:p>
        </w:tc>
        <w:tc>
          <w:tcPr>
            <w:tcW w:w="3575" w:type="dxa"/>
            <w:shd w:val="clear" w:color="auto" w:fill="auto"/>
            <w:noWrap/>
            <w:vAlign w:val="center"/>
          </w:tcPr>
          <w:p>
            <w:pPr>
              <w:spacing w:line="240" w:lineRule="auto"/>
              <w:jc w:val="center"/>
              <w:rPr>
                <w:rFonts w:hint="eastAsia"/>
                <w:sz w:val="19"/>
              </w:rPr>
            </w:pPr>
            <w:r>
              <w:rPr>
                <w:rFonts w:hint="eastAsia"/>
                <w:sz w:val="19"/>
              </w:rPr>
              <w:t>漫谷度假小镇景区</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桓仁满族自治县枫林谷高速公路口下右转2.5公里</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6</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2028</w:t>
            </w:r>
          </w:p>
        </w:tc>
        <w:tc>
          <w:tcPr>
            <w:tcW w:w="752" w:type="dxa"/>
            <w:shd w:val="clear" w:color="auto" w:fill="auto"/>
            <w:noWrap/>
            <w:vAlign w:val="center"/>
          </w:tcPr>
          <w:p>
            <w:pPr>
              <w:spacing w:line="240" w:lineRule="auto"/>
              <w:jc w:val="center"/>
              <w:rPr>
                <w:rFonts w:hint="eastAsia"/>
                <w:sz w:val="19"/>
              </w:rPr>
            </w:pPr>
            <w:r>
              <w:rPr>
                <w:rFonts w:hint="eastAsia"/>
                <w:sz w:val="19"/>
              </w:rPr>
              <w:t>125.2631518</w:t>
            </w:r>
          </w:p>
        </w:tc>
        <w:tc>
          <w:tcPr>
            <w:tcW w:w="752" w:type="dxa"/>
            <w:shd w:val="clear" w:color="auto" w:fill="auto"/>
            <w:noWrap/>
            <w:vAlign w:val="center"/>
          </w:tcPr>
          <w:p>
            <w:pPr>
              <w:spacing w:line="240" w:lineRule="auto"/>
              <w:jc w:val="center"/>
              <w:rPr>
                <w:rFonts w:hint="eastAsia"/>
                <w:sz w:val="19"/>
              </w:rPr>
            </w:pPr>
            <w:r>
              <w:rPr>
                <w:rFonts w:hint="eastAsia"/>
                <w:sz w:val="19"/>
              </w:rPr>
              <w:t>41.10998317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7</w:t>
            </w:r>
          </w:p>
        </w:tc>
        <w:tc>
          <w:tcPr>
            <w:tcW w:w="3575" w:type="dxa"/>
            <w:shd w:val="clear" w:color="auto" w:fill="auto"/>
            <w:noWrap/>
            <w:vAlign w:val="center"/>
          </w:tcPr>
          <w:p>
            <w:pPr>
              <w:spacing w:line="240" w:lineRule="auto"/>
              <w:jc w:val="center"/>
              <w:rPr>
                <w:rFonts w:hint="eastAsia"/>
                <w:sz w:val="19"/>
              </w:rPr>
            </w:pPr>
            <w:r>
              <w:rPr>
                <w:rFonts w:hint="eastAsia"/>
                <w:sz w:val="19"/>
              </w:rPr>
              <w:t>东北参茸城景区</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桓仁满族自治县华山路桓仁东方客运公司客运站南侧</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125.3238738</w:t>
            </w:r>
          </w:p>
        </w:tc>
        <w:tc>
          <w:tcPr>
            <w:tcW w:w="752" w:type="dxa"/>
            <w:shd w:val="clear" w:color="auto" w:fill="auto"/>
            <w:noWrap/>
            <w:vAlign w:val="center"/>
          </w:tcPr>
          <w:p>
            <w:pPr>
              <w:spacing w:line="240" w:lineRule="auto"/>
              <w:jc w:val="center"/>
              <w:rPr>
                <w:rFonts w:hint="eastAsia"/>
                <w:sz w:val="19"/>
              </w:rPr>
            </w:pPr>
            <w:r>
              <w:rPr>
                <w:rFonts w:hint="eastAsia"/>
                <w:sz w:val="19"/>
              </w:rPr>
              <w:t>41.2751901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8</w:t>
            </w:r>
          </w:p>
        </w:tc>
        <w:tc>
          <w:tcPr>
            <w:tcW w:w="3575" w:type="dxa"/>
            <w:shd w:val="clear" w:color="auto" w:fill="auto"/>
            <w:noWrap/>
            <w:vAlign w:val="center"/>
          </w:tcPr>
          <w:p>
            <w:pPr>
              <w:spacing w:line="240" w:lineRule="auto"/>
              <w:jc w:val="center"/>
              <w:rPr>
                <w:rFonts w:hint="eastAsia"/>
                <w:sz w:val="19"/>
              </w:rPr>
            </w:pPr>
            <w:r>
              <w:rPr>
                <w:rFonts w:hint="eastAsia"/>
                <w:sz w:val="19"/>
              </w:rPr>
              <w:t>龙麟酒庄景区</w:t>
            </w:r>
          </w:p>
        </w:tc>
        <w:tc>
          <w:tcPr>
            <w:tcW w:w="4505" w:type="dxa"/>
            <w:shd w:val="clear" w:color="auto" w:fill="auto"/>
            <w:noWrap/>
            <w:vAlign w:val="center"/>
          </w:tcPr>
          <w:p>
            <w:pPr>
              <w:spacing w:line="240" w:lineRule="auto"/>
              <w:jc w:val="center"/>
              <w:rPr>
                <w:rFonts w:hint="eastAsia"/>
                <w:sz w:val="19"/>
              </w:rPr>
            </w:pPr>
            <w:r>
              <w:rPr>
                <w:rFonts w:hint="eastAsia"/>
                <w:sz w:val="19"/>
              </w:rPr>
              <w:t>本溪市桓仁满族自治县桓仁镇北江大街27号</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125.3520655</w:t>
            </w:r>
          </w:p>
        </w:tc>
        <w:tc>
          <w:tcPr>
            <w:tcW w:w="752" w:type="dxa"/>
            <w:shd w:val="clear" w:color="auto" w:fill="auto"/>
            <w:noWrap/>
            <w:vAlign w:val="center"/>
          </w:tcPr>
          <w:p>
            <w:pPr>
              <w:spacing w:line="240" w:lineRule="auto"/>
              <w:jc w:val="center"/>
              <w:rPr>
                <w:rFonts w:hint="eastAsia"/>
                <w:sz w:val="19"/>
              </w:rPr>
            </w:pPr>
            <w:r>
              <w:rPr>
                <w:rFonts w:hint="eastAsia"/>
                <w:sz w:val="19"/>
              </w:rPr>
              <w:t>41.29570575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9</w:t>
            </w:r>
          </w:p>
        </w:tc>
        <w:tc>
          <w:tcPr>
            <w:tcW w:w="3575" w:type="dxa"/>
            <w:shd w:val="clear" w:color="auto" w:fill="auto"/>
            <w:noWrap/>
            <w:vAlign w:val="center"/>
          </w:tcPr>
          <w:p>
            <w:pPr>
              <w:spacing w:line="240" w:lineRule="auto"/>
              <w:jc w:val="center"/>
              <w:rPr>
                <w:rFonts w:hint="eastAsia"/>
                <w:sz w:val="19"/>
              </w:rPr>
            </w:pPr>
            <w:r>
              <w:rPr>
                <w:rFonts w:hint="eastAsia"/>
                <w:sz w:val="19"/>
              </w:rPr>
              <w:t>上药好护士中医药健康养生园</w:t>
            </w:r>
          </w:p>
        </w:tc>
        <w:tc>
          <w:tcPr>
            <w:tcW w:w="4505" w:type="dxa"/>
            <w:shd w:val="clear" w:color="auto" w:fill="auto"/>
            <w:noWrap/>
            <w:vAlign w:val="center"/>
          </w:tcPr>
          <w:p>
            <w:pPr>
              <w:spacing w:line="240" w:lineRule="auto"/>
              <w:jc w:val="center"/>
              <w:rPr>
                <w:rFonts w:hint="eastAsia"/>
                <w:sz w:val="19"/>
              </w:rPr>
            </w:pPr>
            <w:r>
              <w:rPr>
                <w:rFonts w:hint="eastAsia"/>
                <w:sz w:val="19"/>
              </w:rPr>
              <w:t>　</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125.3716959</w:t>
            </w:r>
          </w:p>
        </w:tc>
        <w:tc>
          <w:tcPr>
            <w:tcW w:w="752" w:type="dxa"/>
            <w:shd w:val="clear" w:color="auto" w:fill="auto"/>
            <w:noWrap/>
            <w:vAlign w:val="center"/>
          </w:tcPr>
          <w:p>
            <w:pPr>
              <w:spacing w:line="240" w:lineRule="auto"/>
              <w:jc w:val="center"/>
              <w:rPr>
                <w:rFonts w:hint="eastAsia"/>
                <w:sz w:val="19"/>
              </w:rPr>
            </w:pPr>
            <w:r>
              <w:rPr>
                <w:rFonts w:hint="eastAsia"/>
                <w:sz w:val="19"/>
              </w:rPr>
              <w:t>41.28037435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10</w:t>
            </w:r>
          </w:p>
        </w:tc>
        <w:tc>
          <w:tcPr>
            <w:tcW w:w="3575" w:type="dxa"/>
            <w:shd w:val="clear" w:color="auto" w:fill="auto"/>
            <w:noWrap/>
            <w:vAlign w:val="center"/>
          </w:tcPr>
          <w:p>
            <w:pPr>
              <w:spacing w:line="240" w:lineRule="auto"/>
              <w:jc w:val="center"/>
              <w:rPr>
                <w:rFonts w:hint="eastAsia"/>
                <w:sz w:val="19"/>
              </w:rPr>
            </w:pPr>
            <w:r>
              <w:rPr>
                <w:rFonts w:hint="eastAsia"/>
                <w:sz w:val="19"/>
              </w:rPr>
              <w:t>枫林·谷里房车露营公园</w:t>
            </w:r>
          </w:p>
        </w:tc>
        <w:tc>
          <w:tcPr>
            <w:tcW w:w="4505" w:type="dxa"/>
            <w:shd w:val="clear" w:color="auto" w:fill="auto"/>
            <w:noWrap/>
            <w:vAlign w:val="center"/>
          </w:tcPr>
          <w:p>
            <w:pPr>
              <w:spacing w:line="240" w:lineRule="auto"/>
              <w:jc w:val="center"/>
              <w:rPr>
                <w:rFonts w:hint="eastAsia"/>
                <w:sz w:val="19"/>
              </w:rPr>
            </w:pPr>
            <w:r>
              <w:rPr>
                <w:rFonts w:hint="eastAsia"/>
                <w:sz w:val="19"/>
              </w:rPr>
              <w:t>本溪市桓仁满族自治县向阳乡和平村砬门2组</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6</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125.2863555</w:t>
            </w:r>
          </w:p>
        </w:tc>
        <w:tc>
          <w:tcPr>
            <w:tcW w:w="752" w:type="dxa"/>
            <w:shd w:val="clear" w:color="auto" w:fill="auto"/>
            <w:noWrap/>
            <w:vAlign w:val="center"/>
          </w:tcPr>
          <w:p>
            <w:pPr>
              <w:spacing w:line="240" w:lineRule="auto"/>
              <w:jc w:val="center"/>
              <w:rPr>
                <w:rFonts w:hint="eastAsia"/>
                <w:sz w:val="19"/>
              </w:rPr>
            </w:pPr>
            <w:r>
              <w:rPr>
                <w:rFonts w:hint="eastAsia"/>
                <w:sz w:val="19"/>
              </w:rPr>
              <w:t>41.12707885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11</w:t>
            </w:r>
          </w:p>
        </w:tc>
        <w:tc>
          <w:tcPr>
            <w:tcW w:w="3575" w:type="dxa"/>
            <w:shd w:val="clear" w:color="auto" w:fill="auto"/>
            <w:noWrap/>
            <w:vAlign w:val="center"/>
          </w:tcPr>
          <w:p>
            <w:pPr>
              <w:spacing w:line="240" w:lineRule="auto"/>
              <w:jc w:val="center"/>
              <w:rPr>
                <w:rFonts w:hint="eastAsia"/>
                <w:sz w:val="19"/>
              </w:rPr>
            </w:pPr>
            <w:r>
              <w:rPr>
                <w:rFonts w:hint="eastAsia"/>
                <w:sz w:val="19"/>
              </w:rPr>
              <w:t>辽宁东北抗日义勇军纪念馆</w:t>
            </w:r>
          </w:p>
        </w:tc>
        <w:tc>
          <w:tcPr>
            <w:tcW w:w="4505" w:type="dxa"/>
            <w:shd w:val="clear" w:color="auto" w:fill="auto"/>
            <w:noWrap/>
            <w:vAlign w:val="center"/>
          </w:tcPr>
          <w:p>
            <w:pPr>
              <w:spacing w:line="240" w:lineRule="auto"/>
              <w:jc w:val="center"/>
              <w:rPr>
                <w:rFonts w:hint="eastAsia"/>
                <w:sz w:val="19"/>
              </w:rPr>
            </w:pPr>
            <w:r>
              <w:rPr>
                <w:rFonts w:hint="eastAsia"/>
                <w:sz w:val="19"/>
              </w:rPr>
              <w:t>本溪市桓仁满族自治县桓仁镇北环路北山公园内</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125.3713086</w:t>
            </w:r>
          </w:p>
        </w:tc>
        <w:tc>
          <w:tcPr>
            <w:tcW w:w="752" w:type="dxa"/>
            <w:shd w:val="clear" w:color="auto" w:fill="auto"/>
            <w:noWrap/>
            <w:vAlign w:val="center"/>
          </w:tcPr>
          <w:p>
            <w:pPr>
              <w:spacing w:line="240" w:lineRule="auto"/>
              <w:jc w:val="center"/>
              <w:rPr>
                <w:rFonts w:hint="eastAsia"/>
                <w:sz w:val="19"/>
              </w:rPr>
            </w:pPr>
            <w:r>
              <w:rPr>
                <w:rFonts w:hint="eastAsia"/>
                <w:sz w:val="19"/>
              </w:rPr>
              <w:t>41.27242233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12</w:t>
            </w:r>
          </w:p>
        </w:tc>
        <w:tc>
          <w:tcPr>
            <w:tcW w:w="3575" w:type="dxa"/>
            <w:shd w:val="clear" w:color="auto" w:fill="auto"/>
            <w:noWrap/>
            <w:vAlign w:val="center"/>
          </w:tcPr>
          <w:p>
            <w:pPr>
              <w:spacing w:line="240" w:lineRule="auto"/>
              <w:jc w:val="center"/>
              <w:rPr>
                <w:rFonts w:hint="eastAsia"/>
                <w:sz w:val="19"/>
              </w:rPr>
            </w:pPr>
            <w:r>
              <w:rPr>
                <w:rFonts w:hint="eastAsia"/>
                <w:sz w:val="19"/>
              </w:rPr>
              <w:t>龙宝城市广场</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桓仁满族自治县清华路与长江大街交叉口旁</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6</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2027</w:t>
            </w:r>
          </w:p>
        </w:tc>
        <w:tc>
          <w:tcPr>
            <w:tcW w:w="752" w:type="dxa"/>
            <w:shd w:val="clear" w:color="auto" w:fill="auto"/>
            <w:noWrap/>
            <w:vAlign w:val="center"/>
          </w:tcPr>
          <w:p>
            <w:pPr>
              <w:spacing w:line="240" w:lineRule="auto"/>
              <w:jc w:val="center"/>
              <w:rPr>
                <w:rFonts w:hint="eastAsia"/>
                <w:sz w:val="19"/>
              </w:rPr>
            </w:pPr>
            <w:r>
              <w:rPr>
                <w:rFonts w:hint="eastAsia"/>
                <w:sz w:val="19"/>
              </w:rPr>
              <w:t>125.3387958</w:t>
            </w:r>
          </w:p>
        </w:tc>
        <w:tc>
          <w:tcPr>
            <w:tcW w:w="752" w:type="dxa"/>
            <w:shd w:val="clear" w:color="auto" w:fill="auto"/>
            <w:noWrap/>
            <w:vAlign w:val="center"/>
          </w:tcPr>
          <w:p>
            <w:pPr>
              <w:spacing w:line="240" w:lineRule="auto"/>
              <w:jc w:val="center"/>
              <w:rPr>
                <w:rFonts w:hint="eastAsia"/>
                <w:sz w:val="19"/>
              </w:rPr>
            </w:pPr>
            <w:r>
              <w:rPr>
                <w:rFonts w:hint="eastAsia"/>
                <w:sz w:val="19"/>
              </w:rPr>
              <w:t>41.27567379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13</w:t>
            </w:r>
          </w:p>
        </w:tc>
        <w:tc>
          <w:tcPr>
            <w:tcW w:w="3575" w:type="dxa"/>
            <w:shd w:val="clear" w:color="auto" w:fill="auto"/>
            <w:noWrap/>
            <w:vAlign w:val="center"/>
          </w:tcPr>
          <w:p>
            <w:pPr>
              <w:spacing w:line="240" w:lineRule="auto"/>
              <w:jc w:val="center"/>
              <w:rPr>
                <w:rFonts w:hint="eastAsia"/>
                <w:sz w:val="19"/>
              </w:rPr>
            </w:pPr>
            <w:r>
              <w:rPr>
                <w:rFonts w:hint="eastAsia"/>
                <w:sz w:val="19"/>
              </w:rPr>
              <w:t>桓仁满族自治县顺达加油站</w:t>
            </w:r>
          </w:p>
        </w:tc>
        <w:tc>
          <w:tcPr>
            <w:tcW w:w="4505" w:type="dxa"/>
            <w:shd w:val="clear" w:color="auto" w:fill="auto"/>
            <w:noWrap/>
            <w:vAlign w:val="center"/>
          </w:tcPr>
          <w:p>
            <w:pPr>
              <w:spacing w:line="240" w:lineRule="auto"/>
              <w:jc w:val="center"/>
              <w:rPr>
                <w:rFonts w:hint="eastAsia"/>
                <w:sz w:val="19"/>
              </w:rPr>
            </w:pPr>
            <w:r>
              <w:rPr>
                <w:rFonts w:hint="eastAsia"/>
                <w:sz w:val="19"/>
              </w:rPr>
              <w:t>本溪满族自治县丹霍线</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2026</w:t>
            </w:r>
          </w:p>
        </w:tc>
        <w:tc>
          <w:tcPr>
            <w:tcW w:w="752" w:type="dxa"/>
            <w:shd w:val="clear" w:color="auto" w:fill="auto"/>
            <w:noWrap/>
            <w:vAlign w:val="center"/>
          </w:tcPr>
          <w:p>
            <w:pPr>
              <w:spacing w:line="240" w:lineRule="auto"/>
              <w:jc w:val="center"/>
              <w:rPr>
                <w:rFonts w:hint="eastAsia"/>
                <w:sz w:val="19"/>
              </w:rPr>
            </w:pPr>
            <w:r>
              <w:rPr>
                <w:rFonts w:hint="eastAsia"/>
                <w:sz w:val="19"/>
              </w:rPr>
              <w:t>125.0353843</w:t>
            </w:r>
          </w:p>
        </w:tc>
        <w:tc>
          <w:tcPr>
            <w:tcW w:w="752" w:type="dxa"/>
            <w:shd w:val="clear" w:color="auto" w:fill="auto"/>
            <w:noWrap/>
            <w:vAlign w:val="center"/>
          </w:tcPr>
          <w:p>
            <w:pPr>
              <w:spacing w:line="240" w:lineRule="auto"/>
              <w:jc w:val="center"/>
              <w:rPr>
                <w:rFonts w:hint="eastAsia"/>
                <w:sz w:val="19"/>
              </w:rPr>
            </w:pPr>
            <w:r>
              <w:rPr>
                <w:rFonts w:hint="eastAsia"/>
                <w:sz w:val="19"/>
              </w:rPr>
              <w:t>41.4062312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14</w:t>
            </w:r>
          </w:p>
        </w:tc>
        <w:tc>
          <w:tcPr>
            <w:tcW w:w="3575" w:type="dxa"/>
            <w:shd w:val="clear" w:color="auto" w:fill="auto"/>
            <w:noWrap/>
            <w:vAlign w:val="center"/>
          </w:tcPr>
          <w:p>
            <w:pPr>
              <w:spacing w:line="240" w:lineRule="auto"/>
              <w:jc w:val="center"/>
              <w:rPr>
                <w:rFonts w:hint="eastAsia"/>
                <w:sz w:val="19"/>
              </w:rPr>
            </w:pPr>
            <w:r>
              <w:rPr>
                <w:rFonts w:hint="eastAsia"/>
                <w:sz w:val="19"/>
              </w:rPr>
              <w:t>桓仁雅河油品有限公司</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桓仁满族自治县雅河乡镇董船营村街01组51幢单元1号</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2025</w:t>
            </w:r>
          </w:p>
        </w:tc>
        <w:tc>
          <w:tcPr>
            <w:tcW w:w="752" w:type="dxa"/>
            <w:shd w:val="clear" w:color="auto" w:fill="auto"/>
            <w:noWrap/>
            <w:vAlign w:val="center"/>
          </w:tcPr>
          <w:p>
            <w:pPr>
              <w:spacing w:line="240" w:lineRule="auto"/>
              <w:jc w:val="center"/>
              <w:rPr>
                <w:rFonts w:hint="eastAsia"/>
                <w:sz w:val="19"/>
              </w:rPr>
            </w:pPr>
            <w:r>
              <w:rPr>
                <w:rFonts w:hint="eastAsia"/>
                <w:sz w:val="19"/>
              </w:rPr>
              <w:t>125.3360277</w:t>
            </w:r>
          </w:p>
        </w:tc>
        <w:tc>
          <w:tcPr>
            <w:tcW w:w="752" w:type="dxa"/>
            <w:shd w:val="clear" w:color="auto" w:fill="auto"/>
            <w:noWrap/>
            <w:vAlign w:val="center"/>
          </w:tcPr>
          <w:p>
            <w:pPr>
              <w:spacing w:line="240" w:lineRule="auto"/>
              <w:jc w:val="center"/>
              <w:rPr>
                <w:rFonts w:hint="eastAsia"/>
                <w:sz w:val="19"/>
              </w:rPr>
            </w:pPr>
            <w:r>
              <w:rPr>
                <w:rFonts w:hint="eastAsia"/>
                <w:sz w:val="19"/>
              </w:rPr>
              <w:t>41.22638907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15</w:t>
            </w:r>
          </w:p>
        </w:tc>
        <w:tc>
          <w:tcPr>
            <w:tcW w:w="3575" w:type="dxa"/>
            <w:shd w:val="clear" w:color="auto" w:fill="auto"/>
            <w:noWrap/>
            <w:vAlign w:val="center"/>
          </w:tcPr>
          <w:p>
            <w:pPr>
              <w:spacing w:line="240" w:lineRule="auto"/>
              <w:jc w:val="center"/>
              <w:rPr>
                <w:rFonts w:hint="eastAsia"/>
                <w:sz w:val="19"/>
              </w:rPr>
            </w:pPr>
            <w:r>
              <w:rPr>
                <w:rFonts w:hint="eastAsia"/>
                <w:sz w:val="19"/>
              </w:rPr>
              <w:t>桓仁满族自治县东铃加油站</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桓仁满族自治县511县道与509乡道交叉口的东南方向</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2027</w:t>
            </w:r>
          </w:p>
        </w:tc>
        <w:tc>
          <w:tcPr>
            <w:tcW w:w="752" w:type="dxa"/>
            <w:shd w:val="clear" w:color="auto" w:fill="auto"/>
            <w:noWrap/>
            <w:vAlign w:val="center"/>
          </w:tcPr>
          <w:p>
            <w:pPr>
              <w:spacing w:line="240" w:lineRule="auto"/>
              <w:jc w:val="center"/>
              <w:rPr>
                <w:rFonts w:hint="eastAsia"/>
                <w:sz w:val="19"/>
              </w:rPr>
            </w:pPr>
            <w:r>
              <w:rPr>
                <w:rFonts w:hint="eastAsia"/>
                <w:sz w:val="19"/>
              </w:rPr>
              <w:t>125.5919528</w:t>
            </w:r>
          </w:p>
        </w:tc>
        <w:tc>
          <w:tcPr>
            <w:tcW w:w="752" w:type="dxa"/>
            <w:shd w:val="clear" w:color="auto" w:fill="auto"/>
            <w:noWrap/>
            <w:vAlign w:val="center"/>
          </w:tcPr>
          <w:p>
            <w:pPr>
              <w:spacing w:line="240" w:lineRule="auto"/>
              <w:jc w:val="center"/>
              <w:rPr>
                <w:rFonts w:hint="eastAsia"/>
                <w:sz w:val="19"/>
              </w:rPr>
            </w:pPr>
            <w:r>
              <w:rPr>
                <w:rFonts w:hint="eastAsia"/>
                <w:sz w:val="19"/>
              </w:rPr>
              <w:t>41.20627003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16</w:t>
            </w:r>
          </w:p>
        </w:tc>
        <w:tc>
          <w:tcPr>
            <w:tcW w:w="3575" w:type="dxa"/>
            <w:shd w:val="clear" w:color="auto" w:fill="auto"/>
            <w:noWrap/>
            <w:vAlign w:val="center"/>
          </w:tcPr>
          <w:p>
            <w:pPr>
              <w:spacing w:line="240" w:lineRule="auto"/>
              <w:jc w:val="center"/>
              <w:rPr>
                <w:rFonts w:hint="eastAsia"/>
                <w:sz w:val="19"/>
              </w:rPr>
            </w:pPr>
            <w:r>
              <w:rPr>
                <w:rFonts w:hint="eastAsia"/>
                <w:sz w:val="19"/>
              </w:rPr>
              <w:t>桓仁满族自治县东升加油站</w:t>
            </w:r>
          </w:p>
        </w:tc>
        <w:tc>
          <w:tcPr>
            <w:tcW w:w="4505" w:type="dxa"/>
            <w:shd w:val="clear" w:color="auto" w:fill="auto"/>
            <w:noWrap/>
            <w:vAlign w:val="center"/>
          </w:tcPr>
          <w:p>
            <w:pPr>
              <w:spacing w:line="240" w:lineRule="auto"/>
              <w:jc w:val="center"/>
              <w:rPr>
                <w:rFonts w:hint="eastAsia"/>
                <w:sz w:val="19"/>
              </w:rPr>
            </w:pPr>
            <w:r>
              <w:rPr>
                <w:rFonts w:hint="eastAsia"/>
                <w:sz w:val="19"/>
              </w:rPr>
              <w:t>本溪市桓仁满族自治县坑伙洛村S303</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2025</w:t>
            </w:r>
          </w:p>
        </w:tc>
        <w:tc>
          <w:tcPr>
            <w:tcW w:w="752" w:type="dxa"/>
            <w:shd w:val="clear" w:color="auto" w:fill="auto"/>
            <w:noWrap/>
            <w:vAlign w:val="center"/>
          </w:tcPr>
          <w:p>
            <w:pPr>
              <w:spacing w:line="240" w:lineRule="auto"/>
              <w:jc w:val="center"/>
              <w:rPr>
                <w:rFonts w:hint="eastAsia"/>
                <w:sz w:val="19"/>
              </w:rPr>
            </w:pPr>
            <w:r>
              <w:rPr>
                <w:rFonts w:hint="eastAsia"/>
                <w:sz w:val="19"/>
              </w:rPr>
              <w:t>125.3710333</w:t>
            </w:r>
          </w:p>
        </w:tc>
        <w:tc>
          <w:tcPr>
            <w:tcW w:w="752" w:type="dxa"/>
            <w:shd w:val="clear" w:color="auto" w:fill="auto"/>
            <w:noWrap/>
            <w:vAlign w:val="center"/>
          </w:tcPr>
          <w:p>
            <w:pPr>
              <w:spacing w:line="240" w:lineRule="auto"/>
              <w:jc w:val="center"/>
              <w:rPr>
                <w:rFonts w:hint="eastAsia"/>
                <w:sz w:val="19"/>
              </w:rPr>
            </w:pPr>
            <w:r>
              <w:rPr>
                <w:rFonts w:hint="eastAsia"/>
                <w:sz w:val="19"/>
              </w:rPr>
              <w:t>41.45869888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17</w:t>
            </w:r>
          </w:p>
        </w:tc>
        <w:tc>
          <w:tcPr>
            <w:tcW w:w="3575" w:type="dxa"/>
            <w:shd w:val="clear" w:color="auto" w:fill="auto"/>
            <w:noWrap/>
            <w:vAlign w:val="center"/>
          </w:tcPr>
          <w:p>
            <w:pPr>
              <w:spacing w:line="240" w:lineRule="auto"/>
              <w:jc w:val="center"/>
              <w:rPr>
                <w:rFonts w:hint="eastAsia"/>
                <w:sz w:val="19"/>
              </w:rPr>
            </w:pPr>
            <w:r>
              <w:rPr>
                <w:rFonts w:hint="eastAsia"/>
                <w:sz w:val="19"/>
              </w:rPr>
              <w:t>五里甸子村委会</w:t>
            </w:r>
          </w:p>
        </w:tc>
        <w:tc>
          <w:tcPr>
            <w:tcW w:w="4505" w:type="dxa"/>
            <w:shd w:val="clear" w:color="auto" w:fill="auto"/>
            <w:noWrap/>
            <w:vAlign w:val="center"/>
          </w:tcPr>
          <w:p>
            <w:pPr>
              <w:spacing w:line="240" w:lineRule="auto"/>
              <w:jc w:val="center"/>
              <w:rPr>
                <w:rFonts w:hint="eastAsia"/>
                <w:sz w:val="19"/>
              </w:rPr>
            </w:pPr>
            <w:r>
              <w:rPr>
                <w:rFonts w:hint="eastAsia"/>
                <w:sz w:val="19"/>
              </w:rPr>
              <w:t>五里甸子村委会广场</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2028</w:t>
            </w:r>
          </w:p>
        </w:tc>
        <w:tc>
          <w:tcPr>
            <w:tcW w:w="752" w:type="dxa"/>
            <w:shd w:val="clear" w:color="auto" w:fill="auto"/>
            <w:noWrap/>
            <w:vAlign w:val="center"/>
          </w:tcPr>
          <w:p>
            <w:pPr>
              <w:spacing w:line="240" w:lineRule="auto"/>
              <w:jc w:val="center"/>
              <w:rPr>
                <w:rFonts w:hint="eastAsia"/>
                <w:sz w:val="19"/>
              </w:rPr>
            </w:pPr>
            <w:r>
              <w:rPr>
                <w:rFonts w:hint="eastAsia"/>
                <w:sz w:val="19"/>
              </w:rPr>
              <w:t>125.5626922</w:t>
            </w:r>
          </w:p>
        </w:tc>
        <w:tc>
          <w:tcPr>
            <w:tcW w:w="752" w:type="dxa"/>
            <w:shd w:val="clear" w:color="auto" w:fill="auto"/>
            <w:noWrap/>
            <w:vAlign w:val="center"/>
          </w:tcPr>
          <w:p>
            <w:pPr>
              <w:spacing w:line="240" w:lineRule="auto"/>
              <w:jc w:val="center"/>
              <w:rPr>
                <w:rFonts w:hint="eastAsia"/>
                <w:sz w:val="19"/>
              </w:rPr>
            </w:pPr>
            <w:r>
              <w:rPr>
                <w:rFonts w:hint="eastAsia"/>
                <w:sz w:val="19"/>
              </w:rPr>
              <w:t>41.01029871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18</w:t>
            </w:r>
          </w:p>
        </w:tc>
        <w:tc>
          <w:tcPr>
            <w:tcW w:w="3575" w:type="dxa"/>
            <w:shd w:val="clear" w:color="auto" w:fill="auto"/>
            <w:noWrap/>
            <w:vAlign w:val="center"/>
          </w:tcPr>
          <w:p>
            <w:pPr>
              <w:spacing w:line="240" w:lineRule="auto"/>
              <w:jc w:val="center"/>
              <w:rPr>
                <w:rFonts w:hint="eastAsia"/>
                <w:sz w:val="19"/>
              </w:rPr>
            </w:pPr>
            <w:r>
              <w:rPr>
                <w:rFonts w:hint="eastAsia"/>
                <w:sz w:val="19"/>
              </w:rPr>
              <w:t>本桓高速（本溪东1）</w:t>
            </w:r>
          </w:p>
        </w:tc>
        <w:tc>
          <w:tcPr>
            <w:tcW w:w="4505" w:type="dxa"/>
            <w:shd w:val="clear" w:color="auto" w:fill="auto"/>
            <w:noWrap/>
            <w:vAlign w:val="center"/>
          </w:tcPr>
          <w:p>
            <w:pPr>
              <w:spacing w:line="240" w:lineRule="auto"/>
              <w:jc w:val="center"/>
              <w:rPr>
                <w:rFonts w:hint="eastAsia"/>
                <w:sz w:val="19"/>
              </w:rPr>
            </w:pPr>
            <w:r>
              <w:rPr>
                <w:rFonts w:hint="eastAsia"/>
                <w:sz w:val="19"/>
              </w:rPr>
              <w:t>规划</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6</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125.060581</w:t>
            </w:r>
          </w:p>
        </w:tc>
        <w:tc>
          <w:tcPr>
            <w:tcW w:w="752" w:type="dxa"/>
            <w:shd w:val="clear" w:color="auto" w:fill="auto"/>
            <w:noWrap/>
            <w:vAlign w:val="center"/>
          </w:tcPr>
          <w:p>
            <w:pPr>
              <w:spacing w:line="240" w:lineRule="auto"/>
              <w:jc w:val="center"/>
              <w:rPr>
                <w:rFonts w:hint="eastAsia"/>
                <w:sz w:val="19"/>
              </w:rPr>
            </w:pPr>
            <w:r>
              <w:rPr>
                <w:rFonts w:hint="eastAsia"/>
                <w:sz w:val="19"/>
              </w:rPr>
              <w:t>41.31181511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19</w:t>
            </w:r>
          </w:p>
        </w:tc>
        <w:tc>
          <w:tcPr>
            <w:tcW w:w="3575" w:type="dxa"/>
            <w:shd w:val="clear" w:color="auto" w:fill="auto"/>
            <w:noWrap/>
            <w:vAlign w:val="center"/>
          </w:tcPr>
          <w:p>
            <w:pPr>
              <w:spacing w:line="240" w:lineRule="auto"/>
              <w:jc w:val="center"/>
              <w:rPr>
                <w:rFonts w:hint="eastAsia"/>
                <w:sz w:val="19"/>
              </w:rPr>
            </w:pPr>
            <w:r>
              <w:rPr>
                <w:rFonts w:hint="eastAsia"/>
                <w:sz w:val="19"/>
              </w:rPr>
              <w:t>本桓高速（本溪西1）</w:t>
            </w:r>
          </w:p>
        </w:tc>
        <w:tc>
          <w:tcPr>
            <w:tcW w:w="4505" w:type="dxa"/>
            <w:shd w:val="clear" w:color="auto" w:fill="auto"/>
            <w:noWrap/>
            <w:vAlign w:val="center"/>
          </w:tcPr>
          <w:p>
            <w:pPr>
              <w:spacing w:line="240" w:lineRule="auto"/>
              <w:jc w:val="center"/>
              <w:rPr>
                <w:rFonts w:hint="eastAsia"/>
                <w:sz w:val="19"/>
              </w:rPr>
            </w:pPr>
            <w:r>
              <w:rPr>
                <w:rFonts w:hint="eastAsia"/>
                <w:sz w:val="19"/>
              </w:rPr>
              <w:t>规划</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6</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125.0597227</w:t>
            </w:r>
          </w:p>
        </w:tc>
        <w:tc>
          <w:tcPr>
            <w:tcW w:w="752" w:type="dxa"/>
            <w:shd w:val="clear" w:color="auto" w:fill="auto"/>
            <w:noWrap/>
            <w:vAlign w:val="center"/>
          </w:tcPr>
          <w:p>
            <w:pPr>
              <w:spacing w:line="240" w:lineRule="auto"/>
              <w:jc w:val="center"/>
              <w:rPr>
                <w:rFonts w:hint="eastAsia"/>
                <w:sz w:val="19"/>
              </w:rPr>
            </w:pPr>
            <w:r>
              <w:rPr>
                <w:rFonts w:hint="eastAsia"/>
                <w:sz w:val="19"/>
              </w:rPr>
              <w:t>41.31241146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20</w:t>
            </w:r>
          </w:p>
        </w:tc>
        <w:tc>
          <w:tcPr>
            <w:tcW w:w="3575" w:type="dxa"/>
            <w:shd w:val="clear" w:color="auto" w:fill="auto"/>
            <w:noWrap/>
            <w:vAlign w:val="center"/>
          </w:tcPr>
          <w:p>
            <w:pPr>
              <w:spacing w:line="240" w:lineRule="auto"/>
              <w:jc w:val="center"/>
              <w:rPr>
                <w:rFonts w:hint="eastAsia"/>
                <w:sz w:val="19"/>
              </w:rPr>
            </w:pPr>
            <w:r>
              <w:rPr>
                <w:rFonts w:hint="eastAsia"/>
                <w:sz w:val="19"/>
              </w:rPr>
              <w:t>本桓高速（本溪东2）</w:t>
            </w:r>
          </w:p>
        </w:tc>
        <w:tc>
          <w:tcPr>
            <w:tcW w:w="4505" w:type="dxa"/>
            <w:shd w:val="clear" w:color="auto" w:fill="auto"/>
            <w:noWrap/>
            <w:vAlign w:val="center"/>
          </w:tcPr>
          <w:p>
            <w:pPr>
              <w:spacing w:line="240" w:lineRule="auto"/>
              <w:jc w:val="center"/>
              <w:rPr>
                <w:rFonts w:hint="eastAsia"/>
                <w:sz w:val="19"/>
              </w:rPr>
            </w:pPr>
            <w:r>
              <w:rPr>
                <w:rFonts w:hint="eastAsia"/>
                <w:sz w:val="19"/>
              </w:rPr>
              <w:t>规划</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6</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124.8381722</w:t>
            </w:r>
          </w:p>
        </w:tc>
        <w:tc>
          <w:tcPr>
            <w:tcW w:w="752" w:type="dxa"/>
            <w:shd w:val="clear" w:color="auto" w:fill="auto"/>
            <w:noWrap/>
            <w:vAlign w:val="center"/>
          </w:tcPr>
          <w:p>
            <w:pPr>
              <w:spacing w:line="240" w:lineRule="auto"/>
              <w:jc w:val="center"/>
              <w:rPr>
                <w:rFonts w:hint="eastAsia"/>
                <w:sz w:val="19"/>
              </w:rPr>
            </w:pPr>
            <w:r>
              <w:rPr>
                <w:rFonts w:hint="eastAsia"/>
                <w:sz w:val="19"/>
              </w:rPr>
              <w:t>41.22640118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21</w:t>
            </w:r>
          </w:p>
        </w:tc>
        <w:tc>
          <w:tcPr>
            <w:tcW w:w="3575" w:type="dxa"/>
            <w:shd w:val="clear" w:color="auto" w:fill="auto"/>
            <w:noWrap/>
            <w:vAlign w:val="center"/>
          </w:tcPr>
          <w:p>
            <w:pPr>
              <w:spacing w:line="240" w:lineRule="auto"/>
              <w:jc w:val="center"/>
              <w:rPr>
                <w:rFonts w:hint="eastAsia"/>
                <w:sz w:val="19"/>
              </w:rPr>
            </w:pPr>
            <w:r>
              <w:rPr>
                <w:rFonts w:hint="eastAsia"/>
                <w:sz w:val="19"/>
              </w:rPr>
              <w:t>本桓高速（本溪西2）</w:t>
            </w:r>
          </w:p>
        </w:tc>
        <w:tc>
          <w:tcPr>
            <w:tcW w:w="4505" w:type="dxa"/>
            <w:shd w:val="clear" w:color="auto" w:fill="auto"/>
            <w:noWrap/>
            <w:vAlign w:val="center"/>
          </w:tcPr>
          <w:p>
            <w:pPr>
              <w:spacing w:line="240" w:lineRule="auto"/>
              <w:jc w:val="center"/>
              <w:rPr>
                <w:rFonts w:hint="eastAsia"/>
                <w:sz w:val="19"/>
              </w:rPr>
            </w:pPr>
            <w:r>
              <w:rPr>
                <w:rFonts w:hint="eastAsia"/>
                <w:sz w:val="19"/>
              </w:rPr>
              <w:t>规划</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6</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124.8359835</w:t>
            </w:r>
          </w:p>
        </w:tc>
        <w:tc>
          <w:tcPr>
            <w:tcW w:w="752" w:type="dxa"/>
            <w:shd w:val="clear" w:color="auto" w:fill="auto"/>
            <w:noWrap/>
            <w:vAlign w:val="center"/>
          </w:tcPr>
          <w:p>
            <w:pPr>
              <w:spacing w:line="240" w:lineRule="auto"/>
              <w:jc w:val="center"/>
              <w:rPr>
                <w:rFonts w:hint="eastAsia"/>
                <w:sz w:val="19"/>
              </w:rPr>
            </w:pPr>
            <w:r>
              <w:rPr>
                <w:rFonts w:hint="eastAsia"/>
                <w:sz w:val="19"/>
              </w:rPr>
              <w:t>41.2283055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22</w:t>
            </w:r>
          </w:p>
        </w:tc>
        <w:tc>
          <w:tcPr>
            <w:tcW w:w="3575" w:type="dxa"/>
            <w:shd w:val="clear" w:color="auto" w:fill="auto"/>
            <w:noWrap/>
            <w:vAlign w:val="center"/>
          </w:tcPr>
          <w:p>
            <w:pPr>
              <w:spacing w:line="240" w:lineRule="auto"/>
              <w:jc w:val="center"/>
              <w:rPr>
                <w:rFonts w:hint="eastAsia"/>
                <w:sz w:val="19"/>
              </w:rPr>
            </w:pPr>
            <w:r>
              <w:rPr>
                <w:rFonts w:hint="eastAsia"/>
                <w:sz w:val="19"/>
              </w:rPr>
              <w:t>大东沟社区广场</w:t>
            </w:r>
          </w:p>
        </w:tc>
        <w:tc>
          <w:tcPr>
            <w:tcW w:w="4505" w:type="dxa"/>
            <w:shd w:val="clear" w:color="auto" w:fill="auto"/>
            <w:noWrap/>
            <w:vAlign w:val="center"/>
          </w:tcPr>
          <w:p>
            <w:pPr>
              <w:spacing w:line="240" w:lineRule="auto"/>
              <w:jc w:val="center"/>
              <w:rPr>
                <w:rFonts w:hint="eastAsia"/>
                <w:sz w:val="19"/>
              </w:rPr>
            </w:pPr>
            <w:r>
              <w:rPr>
                <w:rFonts w:hint="eastAsia"/>
                <w:sz w:val="19"/>
              </w:rPr>
              <w:t>大东沟社区广场</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125.4345006</w:t>
            </w:r>
          </w:p>
        </w:tc>
        <w:tc>
          <w:tcPr>
            <w:tcW w:w="752" w:type="dxa"/>
            <w:shd w:val="clear" w:color="auto" w:fill="auto"/>
            <w:noWrap/>
            <w:vAlign w:val="center"/>
          </w:tcPr>
          <w:p>
            <w:pPr>
              <w:spacing w:line="240" w:lineRule="auto"/>
              <w:jc w:val="center"/>
              <w:rPr>
                <w:rFonts w:hint="eastAsia"/>
                <w:sz w:val="19"/>
              </w:rPr>
            </w:pPr>
            <w:r>
              <w:rPr>
                <w:rFonts w:hint="eastAsia"/>
                <w:sz w:val="19"/>
              </w:rPr>
              <w:t>41.34771371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23</w:t>
            </w:r>
          </w:p>
        </w:tc>
        <w:tc>
          <w:tcPr>
            <w:tcW w:w="3575" w:type="dxa"/>
            <w:shd w:val="clear" w:color="auto" w:fill="auto"/>
            <w:noWrap/>
            <w:vAlign w:val="center"/>
          </w:tcPr>
          <w:p>
            <w:pPr>
              <w:spacing w:line="240" w:lineRule="auto"/>
              <w:jc w:val="center"/>
              <w:rPr>
                <w:rFonts w:hint="eastAsia"/>
                <w:sz w:val="19"/>
              </w:rPr>
            </w:pPr>
            <w:r>
              <w:rPr>
                <w:rFonts w:hint="eastAsia"/>
                <w:sz w:val="19"/>
              </w:rPr>
              <w:t>大川村村部广场</w:t>
            </w:r>
          </w:p>
        </w:tc>
        <w:tc>
          <w:tcPr>
            <w:tcW w:w="4505" w:type="dxa"/>
            <w:shd w:val="clear" w:color="auto" w:fill="auto"/>
            <w:noWrap/>
            <w:vAlign w:val="center"/>
          </w:tcPr>
          <w:p>
            <w:pPr>
              <w:spacing w:line="240" w:lineRule="auto"/>
              <w:jc w:val="center"/>
              <w:rPr>
                <w:rFonts w:hint="eastAsia"/>
                <w:sz w:val="19"/>
              </w:rPr>
            </w:pPr>
            <w:r>
              <w:rPr>
                <w:rFonts w:hint="eastAsia"/>
                <w:sz w:val="19"/>
              </w:rPr>
              <w:t>本溪市桓仁满族自治县二长线</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2028</w:t>
            </w:r>
          </w:p>
        </w:tc>
        <w:tc>
          <w:tcPr>
            <w:tcW w:w="752" w:type="dxa"/>
            <w:shd w:val="clear" w:color="auto" w:fill="auto"/>
            <w:noWrap/>
            <w:vAlign w:val="center"/>
          </w:tcPr>
          <w:p>
            <w:pPr>
              <w:spacing w:line="240" w:lineRule="auto"/>
              <w:jc w:val="center"/>
              <w:rPr>
                <w:rFonts w:hint="eastAsia"/>
                <w:sz w:val="19"/>
              </w:rPr>
            </w:pPr>
            <w:r>
              <w:rPr>
                <w:rFonts w:hint="eastAsia"/>
                <w:sz w:val="19"/>
              </w:rPr>
              <w:t>125.2643792</w:t>
            </w:r>
          </w:p>
        </w:tc>
        <w:tc>
          <w:tcPr>
            <w:tcW w:w="752" w:type="dxa"/>
            <w:shd w:val="clear" w:color="auto" w:fill="auto"/>
            <w:noWrap/>
            <w:vAlign w:val="center"/>
          </w:tcPr>
          <w:p>
            <w:pPr>
              <w:spacing w:line="240" w:lineRule="auto"/>
              <w:jc w:val="center"/>
              <w:rPr>
                <w:rFonts w:hint="eastAsia"/>
                <w:sz w:val="19"/>
              </w:rPr>
            </w:pPr>
            <w:r>
              <w:rPr>
                <w:rFonts w:hint="eastAsia"/>
                <w:sz w:val="19"/>
              </w:rPr>
              <w:t>41.41417037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24</w:t>
            </w:r>
          </w:p>
        </w:tc>
        <w:tc>
          <w:tcPr>
            <w:tcW w:w="3575" w:type="dxa"/>
            <w:shd w:val="clear" w:color="auto" w:fill="auto"/>
            <w:noWrap/>
            <w:vAlign w:val="center"/>
          </w:tcPr>
          <w:p>
            <w:pPr>
              <w:spacing w:line="240" w:lineRule="auto"/>
              <w:jc w:val="center"/>
              <w:rPr>
                <w:rFonts w:hint="eastAsia"/>
                <w:sz w:val="19"/>
              </w:rPr>
            </w:pPr>
            <w:r>
              <w:rPr>
                <w:rFonts w:hint="eastAsia"/>
                <w:sz w:val="19"/>
              </w:rPr>
              <w:t>静心岛景区</w:t>
            </w:r>
          </w:p>
        </w:tc>
        <w:tc>
          <w:tcPr>
            <w:tcW w:w="4505" w:type="dxa"/>
            <w:shd w:val="clear" w:color="auto" w:fill="auto"/>
            <w:noWrap/>
            <w:vAlign w:val="center"/>
          </w:tcPr>
          <w:p>
            <w:pPr>
              <w:spacing w:line="240" w:lineRule="auto"/>
              <w:jc w:val="center"/>
              <w:rPr>
                <w:rFonts w:hint="eastAsia"/>
                <w:sz w:val="19"/>
              </w:rPr>
            </w:pPr>
            <w:r>
              <w:rPr>
                <w:rFonts w:hint="eastAsia"/>
                <w:sz w:val="19"/>
              </w:rPr>
              <w:t>本溪市桓仁满族自治县普乐堡镇大青沟村</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125.0894551</w:t>
            </w:r>
          </w:p>
        </w:tc>
        <w:tc>
          <w:tcPr>
            <w:tcW w:w="752" w:type="dxa"/>
            <w:shd w:val="clear" w:color="auto" w:fill="auto"/>
            <w:noWrap/>
            <w:vAlign w:val="center"/>
          </w:tcPr>
          <w:p>
            <w:pPr>
              <w:spacing w:line="240" w:lineRule="auto"/>
              <w:jc w:val="center"/>
              <w:rPr>
                <w:rFonts w:hint="eastAsia"/>
                <w:sz w:val="19"/>
              </w:rPr>
            </w:pPr>
            <w:r>
              <w:rPr>
                <w:rFonts w:hint="eastAsia"/>
                <w:sz w:val="19"/>
              </w:rPr>
              <w:t>41.17036052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25</w:t>
            </w:r>
          </w:p>
        </w:tc>
        <w:tc>
          <w:tcPr>
            <w:tcW w:w="3575" w:type="dxa"/>
            <w:shd w:val="clear" w:color="auto" w:fill="auto"/>
            <w:noWrap/>
            <w:vAlign w:val="center"/>
          </w:tcPr>
          <w:p>
            <w:pPr>
              <w:spacing w:line="240" w:lineRule="auto"/>
              <w:jc w:val="center"/>
              <w:rPr>
                <w:rFonts w:hint="eastAsia"/>
                <w:sz w:val="19"/>
              </w:rPr>
            </w:pPr>
            <w:r>
              <w:rPr>
                <w:rFonts w:hint="eastAsia"/>
                <w:sz w:val="19"/>
              </w:rPr>
              <w:t>清泉山景区</w:t>
            </w:r>
          </w:p>
        </w:tc>
        <w:tc>
          <w:tcPr>
            <w:tcW w:w="4505" w:type="dxa"/>
            <w:shd w:val="clear" w:color="auto" w:fill="auto"/>
            <w:noWrap/>
            <w:vAlign w:val="center"/>
          </w:tcPr>
          <w:p>
            <w:pPr>
              <w:spacing w:line="240" w:lineRule="auto"/>
              <w:jc w:val="center"/>
              <w:rPr>
                <w:rFonts w:hint="eastAsia"/>
                <w:sz w:val="19"/>
              </w:rPr>
            </w:pPr>
            <w:r>
              <w:rPr>
                <w:rFonts w:hint="eastAsia"/>
                <w:sz w:val="19"/>
              </w:rPr>
              <w:t>本溪市桓仁满族自治县普乐堡镇大青沟村</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125.1358987</w:t>
            </w:r>
          </w:p>
        </w:tc>
        <w:tc>
          <w:tcPr>
            <w:tcW w:w="752" w:type="dxa"/>
            <w:shd w:val="clear" w:color="auto" w:fill="auto"/>
            <w:noWrap/>
            <w:vAlign w:val="center"/>
          </w:tcPr>
          <w:p>
            <w:pPr>
              <w:spacing w:line="240" w:lineRule="auto"/>
              <w:jc w:val="center"/>
              <w:rPr>
                <w:rFonts w:hint="eastAsia"/>
                <w:sz w:val="19"/>
              </w:rPr>
            </w:pPr>
            <w:r>
              <w:rPr>
                <w:rFonts w:hint="eastAsia"/>
                <w:sz w:val="19"/>
              </w:rPr>
              <w:t>41.14057115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26</w:t>
            </w:r>
          </w:p>
        </w:tc>
        <w:tc>
          <w:tcPr>
            <w:tcW w:w="3575" w:type="dxa"/>
            <w:shd w:val="clear" w:color="auto" w:fill="auto"/>
            <w:noWrap/>
            <w:vAlign w:val="center"/>
          </w:tcPr>
          <w:p>
            <w:pPr>
              <w:spacing w:line="240" w:lineRule="auto"/>
              <w:jc w:val="center"/>
              <w:rPr>
                <w:rFonts w:hint="eastAsia"/>
                <w:sz w:val="19"/>
              </w:rPr>
            </w:pPr>
            <w:r>
              <w:rPr>
                <w:rFonts w:hint="eastAsia"/>
                <w:sz w:val="19"/>
              </w:rPr>
              <w:t>二棚甸子客运站</w:t>
            </w:r>
          </w:p>
        </w:tc>
        <w:tc>
          <w:tcPr>
            <w:tcW w:w="4505" w:type="dxa"/>
            <w:shd w:val="clear" w:color="auto" w:fill="auto"/>
            <w:noWrap/>
            <w:vAlign w:val="center"/>
          </w:tcPr>
          <w:p>
            <w:pPr>
              <w:spacing w:line="240" w:lineRule="auto"/>
              <w:jc w:val="center"/>
              <w:rPr>
                <w:rFonts w:hint="eastAsia"/>
                <w:sz w:val="19"/>
              </w:rPr>
            </w:pPr>
            <w:r>
              <w:rPr>
                <w:rFonts w:hint="eastAsia"/>
                <w:sz w:val="19"/>
              </w:rPr>
              <w:t>本溪市桓仁满族自治县木通线</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2025</w:t>
            </w:r>
          </w:p>
        </w:tc>
        <w:tc>
          <w:tcPr>
            <w:tcW w:w="752" w:type="dxa"/>
            <w:shd w:val="clear" w:color="auto" w:fill="auto"/>
            <w:noWrap/>
            <w:vAlign w:val="center"/>
          </w:tcPr>
          <w:p>
            <w:pPr>
              <w:spacing w:line="240" w:lineRule="auto"/>
              <w:jc w:val="center"/>
              <w:rPr>
                <w:rFonts w:hint="eastAsia"/>
                <w:sz w:val="19"/>
              </w:rPr>
            </w:pPr>
            <w:r>
              <w:rPr>
                <w:rFonts w:hint="eastAsia"/>
                <w:sz w:val="19"/>
              </w:rPr>
              <w:t>125.5004284</w:t>
            </w:r>
          </w:p>
        </w:tc>
        <w:tc>
          <w:tcPr>
            <w:tcW w:w="752" w:type="dxa"/>
            <w:shd w:val="clear" w:color="auto" w:fill="auto"/>
            <w:noWrap/>
            <w:vAlign w:val="center"/>
          </w:tcPr>
          <w:p>
            <w:pPr>
              <w:spacing w:line="240" w:lineRule="auto"/>
              <w:jc w:val="center"/>
              <w:rPr>
                <w:rFonts w:hint="eastAsia"/>
                <w:sz w:val="19"/>
              </w:rPr>
            </w:pPr>
            <w:r>
              <w:rPr>
                <w:rFonts w:hint="eastAsia"/>
                <w:sz w:val="19"/>
              </w:rPr>
              <w:t>41.17831078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27</w:t>
            </w:r>
          </w:p>
        </w:tc>
        <w:tc>
          <w:tcPr>
            <w:tcW w:w="3575" w:type="dxa"/>
            <w:shd w:val="clear" w:color="auto" w:fill="auto"/>
            <w:noWrap/>
            <w:vAlign w:val="center"/>
          </w:tcPr>
          <w:p>
            <w:pPr>
              <w:spacing w:line="240" w:lineRule="auto"/>
              <w:jc w:val="center"/>
              <w:rPr>
                <w:rFonts w:hint="eastAsia"/>
                <w:sz w:val="19"/>
              </w:rPr>
            </w:pPr>
            <w:r>
              <w:rPr>
                <w:rFonts w:hint="eastAsia"/>
                <w:sz w:val="19"/>
              </w:rPr>
              <w:t>大青沟村委会</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桓仁满族自治县201国道西50米</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125.121795</w:t>
            </w:r>
          </w:p>
        </w:tc>
        <w:tc>
          <w:tcPr>
            <w:tcW w:w="752" w:type="dxa"/>
            <w:shd w:val="clear" w:color="auto" w:fill="auto"/>
            <w:noWrap/>
            <w:vAlign w:val="center"/>
          </w:tcPr>
          <w:p>
            <w:pPr>
              <w:spacing w:line="240" w:lineRule="auto"/>
              <w:jc w:val="center"/>
              <w:rPr>
                <w:rFonts w:hint="eastAsia"/>
                <w:sz w:val="19"/>
              </w:rPr>
            </w:pPr>
            <w:r>
              <w:rPr>
                <w:rFonts w:hint="eastAsia"/>
                <w:sz w:val="19"/>
              </w:rPr>
              <w:t>41.1658765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28</w:t>
            </w:r>
          </w:p>
        </w:tc>
        <w:tc>
          <w:tcPr>
            <w:tcW w:w="3575" w:type="dxa"/>
            <w:shd w:val="clear" w:color="auto" w:fill="auto"/>
            <w:noWrap/>
            <w:vAlign w:val="center"/>
          </w:tcPr>
          <w:p>
            <w:pPr>
              <w:spacing w:line="240" w:lineRule="auto"/>
              <w:jc w:val="center"/>
              <w:rPr>
                <w:rFonts w:hint="eastAsia"/>
                <w:sz w:val="19"/>
              </w:rPr>
            </w:pPr>
            <w:r>
              <w:rPr>
                <w:rFonts w:hint="eastAsia"/>
                <w:sz w:val="19"/>
              </w:rPr>
              <w:t>晓阳村村部健身广场</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桓仁满族自治县二零一省道</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2025</w:t>
            </w:r>
          </w:p>
        </w:tc>
        <w:tc>
          <w:tcPr>
            <w:tcW w:w="752" w:type="dxa"/>
            <w:shd w:val="clear" w:color="auto" w:fill="auto"/>
            <w:noWrap/>
            <w:vAlign w:val="center"/>
          </w:tcPr>
          <w:p>
            <w:pPr>
              <w:spacing w:line="240" w:lineRule="auto"/>
              <w:jc w:val="center"/>
              <w:rPr>
                <w:rFonts w:hint="eastAsia"/>
                <w:sz w:val="19"/>
              </w:rPr>
            </w:pPr>
            <w:r>
              <w:rPr>
                <w:rFonts w:hint="eastAsia"/>
                <w:sz w:val="19"/>
              </w:rPr>
              <w:t>125.522294</w:t>
            </w:r>
          </w:p>
        </w:tc>
        <w:tc>
          <w:tcPr>
            <w:tcW w:w="752" w:type="dxa"/>
            <w:shd w:val="clear" w:color="auto" w:fill="auto"/>
            <w:noWrap/>
            <w:vAlign w:val="center"/>
          </w:tcPr>
          <w:p>
            <w:pPr>
              <w:spacing w:line="240" w:lineRule="auto"/>
              <w:jc w:val="center"/>
              <w:rPr>
                <w:rFonts w:hint="eastAsia"/>
                <w:sz w:val="19"/>
              </w:rPr>
            </w:pPr>
            <w:r>
              <w:rPr>
                <w:rFonts w:hint="eastAsia"/>
                <w:sz w:val="19"/>
              </w:rPr>
              <w:t>41.10450456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29</w:t>
            </w:r>
          </w:p>
        </w:tc>
        <w:tc>
          <w:tcPr>
            <w:tcW w:w="3575" w:type="dxa"/>
            <w:shd w:val="clear" w:color="auto" w:fill="auto"/>
            <w:noWrap/>
            <w:vAlign w:val="center"/>
          </w:tcPr>
          <w:p>
            <w:pPr>
              <w:spacing w:line="240" w:lineRule="auto"/>
              <w:jc w:val="center"/>
              <w:rPr>
                <w:rFonts w:hint="eastAsia"/>
                <w:sz w:val="19"/>
              </w:rPr>
            </w:pPr>
            <w:r>
              <w:rPr>
                <w:rFonts w:hint="eastAsia"/>
                <w:sz w:val="19"/>
              </w:rPr>
              <w:t>老漫子村村委会</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桓仁满族自治县普乐堡镇</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125.0510034</w:t>
            </w:r>
          </w:p>
        </w:tc>
        <w:tc>
          <w:tcPr>
            <w:tcW w:w="752" w:type="dxa"/>
            <w:shd w:val="clear" w:color="auto" w:fill="auto"/>
            <w:noWrap/>
            <w:vAlign w:val="center"/>
          </w:tcPr>
          <w:p>
            <w:pPr>
              <w:spacing w:line="240" w:lineRule="auto"/>
              <w:jc w:val="center"/>
              <w:rPr>
                <w:rFonts w:hint="eastAsia"/>
                <w:sz w:val="19"/>
              </w:rPr>
            </w:pPr>
            <w:r>
              <w:rPr>
                <w:rFonts w:hint="eastAsia"/>
                <w:sz w:val="19"/>
              </w:rPr>
              <w:t>41.15106675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30</w:t>
            </w:r>
          </w:p>
        </w:tc>
        <w:tc>
          <w:tcPr>
            <w:tcW w:w="3575" w:type="dxa"/>
            <w:shd w:val="clear" w:color="auto" w:fill="auto"/>
            <w:noWrap/>
            <w:vAlign w:val="center"/>
          </w:tcPr>
          <w:p>
            <w:pPr>
              <w:spacing w:line="240" w:lineRule="auto"/>
              <w:jc w:val="center"/>
              <w:rPr>
                <w:rFonts w:hint="eastAsia"/>
                <w:sz w:val="19"/>
              </w:rPr>
            </w:pPr>
            <w:r>
              <w:rPr>
                <w:rFonts w:hint="eastAsia"/>
                <w:sz w:val="19"/>
              </w:rPr>
              <w:t>秀里村村委会</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桓仁满族自治县八里甸子镇桓盖线西50米</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2028</w:t>
            </w:r>
          </w:p>
        </w:tc>
        <w:tc>
          <w:tcPr>
            <w:tcW w:w="752" w:type="dxa"/>
            <w:shd w:val="clear" w:color="auto" w:fill="auto"/>
            <w:noWrap/>
            <w:vAlign w:val="center"/>
          </w:tcPr>
          <w:p>
            <w:pPr>
              <w:spacing w:line="240" w:lineRule="auto"/>
              <w:jc w:val="center"/>
              <w:rPr>
                <w:rFonts w:hint="eastAsia"/>
                <w:sz w:val="19"/>
              </w:rPr>
            </w:pPr>
            <w:r>
              <w:rPr>
                <w:rFonts w:hint="eastAsia"/>
                <w:sz w:val="19"/>
              </w:rPr>
              <w:t>124.983815</w:t>
            </w:r>
          </w:p>
        </w:tc>
        <w:tc>
          <w:tcPr>
            <w:tcW w:w="752" w:type="dxa"/>
            <w:shd w:val="clear" w:color="auto" w:fill="auto"/>
            <w:noWrap/>
            <w:vAlign w:val="center"/>
          </w:tcPr>
          <w:p>
            <w:pPr>
              <w:spacing w:line="240" w:lineRule="auto"/>
              <w:jc w:val="center"/>
              <w:rPr>
                <w:rFonts w:hint="eastAsia"/>
                <w:sz w:val="19"/>
              </w:rPr>
            </w:pPr>
            <w:r>
              <w:rPr>
                <w:rFonts w:hint="eastAsia"/>
                <w:sz w:val="19"/>
              </w:rPr>
              <w:t>41.18862525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31</w:t>
            </w:r>
          </w:p>
        </w:tc>
        <w:tc>
          <w:tcPr>
            <w:tcW w:w="3575" w:type="dxa"/>
            <w:shd w:val="clear" w:color="auto" w:fill="auto"/>
            <w:noWrap/>
            <w:vAlign w:val="center"/>
          </w:tcPr>
          <w:p>
            <w:pPr>
              <w:spacing w:line="240" w:lineRule="auto"/>
              <w:jc w:val="center"/>
              <w:rPr>
                <w:rFonts w:hint="eastAsia"/>
                <w:sz w:val="19"/>
              </w:rPr>
            </w:pPr>
            <w:r>
              <w:rPr>
                <w:rFonts w:hint="eastAsia"/>
                <w:sz w:val="19"/>
              </w:rPr>
              <w:t>木盂子村</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桓仁满族自治县富盂路与木桦线交叉路口往东约190米</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124.9539436</w:t>
            </w:r>
          </w:p>
        </w:tc>
        <w:tc>
          <w:tcPr>
            <w:tcW w:w="752" w:type="dxa"/>
            <w:shd w:val="clear" w:color="auto" w:fill="auto"/>
            <w:noWrap/>
            <w:vAlign w:val="center"/>
          </w:tcPr>
          <w:p>
            <w:pPr>
              <w:spacing w:line="240" w:lineRule="auto"/>
              <w:jc w:val="center"/>
              <w:rPr>
                <w:rFonts w:hint="eastAsia"/>
                <w:sz w:val="19"/>
              </w:rPr>
            </w:pPr>
            <w:r>
              <w:rPr>
                <w:rFonts w:hint="eastAsia"/>
                <w:sz w:val="19"/>
              </w:rPr>
              <w:t>41.38196622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32</w:t>
            </w:r>
          </w:p>
        </w:tc>
        <w:tc>
          <w:tcPr>
            <w:tcW w:w="3575" w:type="dxa"/>
            <w:shd w:val="clear" w:color="auto" w:fill="auto"/>
            <w:noWrap/>
            <w:vAlign w:val="center"/>
          </w:tcPr>
          <w:p>
            <w:pPr>
              <w:spacing w:line="240" w:lineRule="auto"/>
              <w:jc w:val="center"/>
              <w:rPr>
                <w:rFonts w:hint="eastAsia"/>
                <w:sz w:val="19"/>
              </w:rPr>
            </w:pPr>
            <w:r>
              <w:rPr>
                <w:rFonts w:hint="eastAsia"/>
                <w:sz w:val="19"/>
              </w:rPr>
              <w:t>暖河子村</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桓仁满族自治县华来镇木暖线东50米</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2028</w:t>
            </w:r>
          </w:p>
        </w:tc>
        <w:tc>
          <w:tcPr>
            <w:tcW w:w="752" w:type="dxa"/>
            <w:shd w:val="clear" w:color="auto" w:fill="auto"/>
            <w:noWrap/>
            <w:vAlign w:val="center"/>
          </w:tcPr>
          <w:p>
            <w:pPr>
              <w:spacing w:line="240" w:lineRule="auto"/>
              <w:jc w:val="center"/>
              <w:rPr>
                <w:rFonts w:hint="eastAsia"/>
                <w:sz w:val="19"/>
              </w:rPr>
            </w:pPr>
            <w:r>
              <w:rPr>
                <w:rFonts w:hint="eastAsia"/>
                <w:sz w:val="19"/>
              </w:rPr>
              <w:t>124.9330285</w:t>
            </w:r>
          </w:p>
        </w:tc>
        <w:tc>
          <w:tcPr>
            <w:tcW w:w="752" w:type="dxa"/>
            <w:shd w:val="clear" w:color="auto" w:fill="auto"/>
            <w:noWrap/>
            <w:vAlign w:val="center"/>
          </w:tcPr>
          <w:p>
            <w:pPr>
              <w:spacing w:line="240" w:lineRule="auto"/>
              <w:jc w:val="center"/>
              <w:rPr>
                <w:rFonts w:hint="eastAsia"/>
                <w:sz w:val="19"/>
              </w:rPr>
            </w:pPr>
            <w:r>
              <w:rPr>
                <w:rFonts w:hint="eastAsia"/>
                <w:sz w:val="19"/>
              </w:rPr>
              <w:t>41.34652822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33</w:t>
            </w:r>
          </w:p>
        </w:tc>
        <w:tc>
          <w:tcPr>
            <w:tcW w:w="3575" w:type="dxa"/>
            <w:shd w:val="clear" w:color="auto" w:fill="auto"/>
            <w:noWrap/>
            <w:vAlign w:val="center"/>
          </w:tcPr>
          <w:p>
            <w:pPr>
              <w:spacing w:line="240" w:lineRule="auto"/>
              <w:jc w:val="center"/>
              <w:rPr>
                <w:rFonts w:hint="eastAsia"/>
                <w:sz w:val="19"/>
              </w:rPr>
            </w:pPr>
            <w:r>
              <w:rPr>
                <w:rFonts w:hint="eastAsia"/>
                <w:sz w:val="19"/>
              </w:rPr>
              <w:t>川头村</w:t>
            </w:r>
          </w:p>
        </w:tc>
        <w:tc>
          <w:tcPr>
            <w:tcW w:w="4505" w:type="dxa"/>
            <w:shd w:val="clear" w:color="auto" w:fill="auto"/>
            <w:noWrap/>
            <w:vAlign w:val="center"/>
          </w:tcPr>
          <w:p>
            <w:pPr>
              <w:spacing w:line="240" w:lineRule="auto"/>
              <w:jc w:val="center"/>
              <w:rPr>
                <w:rFonts w:hint="eastAsia"/>
                <w:sz w:val="19"/>
              </w:rPr>
            </w:pPr>
            <w:r>
              <w:rPr>
                <w:rFonts w:hint="eastAsia"/>
                <w:sz w:val="19"/>
              </w:rPr>
              <w:t>本溪市桓仁满族自治县八里甸子镇</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2028</w:t>
            </w:r>
          </w:p>
        </w:tc>
        <w:tc>
          <w:tcPr>
            <w:tcW w:w="752" w:type="dxa"/>
            <w:shd w:val="clear" w:color="auto" w:fill="auto"/>
            <w:noWrap/>
            <w:vAlign w:val="center"/>
          </w:tcPr>
          <w:p>
            <w:pPr>
              <w:spacing w:line="240" w:lineRule="auto"/>
              <w:jc w:val="center"/>
              <w:rPr>
                <w:rFonts w:hint="eastAsia"/>
                <w:sz w:val="19"/>
              </w:rPr>
            </w:pPr>
            <w:r>
              <w:rPr>
                <w:rFonts w:hint="eastAsia"/>
                <w:sz w:val="19"/>
              </w:rPr>
              <w:t>124.9086552</w:t>
            </w:r>
          </w:p>
        </w:tc>
        <w:tc>
          <w:tcPr>
            <w:tcW w:w="752" w:type="dxa"/>
            <w:shd w:val="clear" w:color="auto" w:fill="auto"/>
            <w:noWrap/>
            <w:vAlign w:val="center"/>
          </w:tcPr>
          <w:p>
            <w:pPr>
              <w:spacing w:line="240" w:lineRule="auto"/>
              <w:jc w:val="center"/>
              <w:rPr>
                <w:rFonts w:hint="eastAsia"/>
                <w:sz w:val="19"/>
              </w:rPr>
            </w:pPr>
            <w:r>
              <w:rPr>
                <w:rFonts w:hint="eastAsia"/>
                <w:sz w:val="19"/>
              </w:rPr>
              <w:t>41.2569118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34</w:t>
            </w:r>
          </w:p>
        </w:tc>
        <w:tc>
          <w:tcPr>
            <w:tcW w:w="3575" w:type="dxa"/>
            <w:shd w:val="clear" w:color="auto" w:fill="auto"/>
            <w:noWrap/>
            <w:vAlign w:val="center"/>
          </w:tcPr>
          <w:p>
            <w:pPr>
              <w:spacing w:line="240" w:lineRule="auto"/>
              <w:jc w:val="center"/>
              <w:rPr>
                <w:rFonts w:hint="eastAsia"/>
                <w:sz w:val="19"/>
              </w:rPr>
            </w:pPr>
            <w:r>
              <w:rPr>
                <w:rFonts w:hint="eastAsia"/>
                <w:sz w:val="19"/>
              </w:rPr>
              <w:t>高台子村</w:t>
            </w:r>
          </w:p>
        </w:tc>
        <w:tc>
          <w:tcPr>
            <w:tcW w:w="4505" w:type="dxa"/>
            <w:shd w:val="clear" w:color="auto" w:fill="auto"/>
            <w:noWrap/>
            <w:vAlign w:val="center"/>
          </w:tcPr>
          <w:p>
            <w:pPr>
              <w:spacing w:line="240" w:lineRule="auto"/>
              <w:jc w:val="center"/>
              <w:rPr>
                <w:rFonts w:hint="eastAsia"/>
                <w:sz w:val="19"/>
              </w:rPr>
            </w:pPr>
            <w:r>
              <w:rPr>
                <w:rFonts w:hint="eastAsia"/>
                <w:sz w:val="19"/>
              </w:rPr>
              <w:t>华来镇</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2025</w:t>
            </w:r>
          </w:p>
        </w:tc>
        <w:tc>
          <w:tcPr>
            <w:tcW w:w="752" w:type="dxa"/>
            <w:shd w:val="clear" w:color="auto" w:fill="auto"/>
            <w:noWrap/>
            <w:vAlign w:val="center"/>
          </w:tcPr>
          <w:p>
            <w:pPr>
              <w:spacing w:line="240" w:lineRule="auto"/>
              <w:jc w:val="center"/>
              <w:rPr>
                <w:rFonts w:hint="eastAsia"/>
                <w:sz w:val="19"/>
              </w:rPr>
            </w:pPr>
            <w:r>
              <w:rPr>
                <w:rFonts w:hint="eastAsia"/>
                <w:sz w:val="19"/>
              </w:rPr>
              <w:t>124.9825115</w:t>
            </w:r>
          </w:p>
        </w:tc>
        <w:tc>
          <w:tcPr>
            <w:tcW w:w="752" w:type="dxa"/>
            <w:shd w:val="clear" w:color="auto" w:fill="auto"/>
            <w:noWrap/>
            <w:vAlign w:val="center"/>
          </w:tcPr>
          <w:p>
            <w:pPr>
              <w:spacing w:line="240" w:lineRule="auto"/>
              <w:jc w:val="center"/>
              <w:rPr>
                <w:rFonts w:hint="eastAsia"/>
                <w:sz w:val="19"/>
              </w:rPr>
            </w:pPr>
            <w:r>
              <w:rPr>
                <w:rFonts w:hint="eastAsia"/>
                <w:sz w:val="19"/>
              </w:rPr>
              <w:t>41.45846304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35</w:t>
            </w:r>
          </w:p>
        </w:tc>
        <w:tc>
          <w:tcPr>
            <w:tcW w:w="3575" w:type="dxa"/>
            <w:shd w:val="clear" w:color="auto" w:fill="auto"/>
            <w:noWrap/>
            <w:vAlign w:val="center"/>
          </w:tcPr>
          <w:p>
            <w:pPr>
              <w:spacing w:line="240" w:lineRule="auto"/>
              <w:jc w:val="center"/>
              <w:rPr>
                <w:rFonts w:hint="eastAsia"/>
                <w:sz w:val="19"/>
              </w:rPr>
            </w:pPr>
            <w:r>
              <w:rPr>
                <w:rFonts w:hint="eastAsia"/>
                <w:sz w:val="19"/>
              </w:rPr>
              <w:t>朱家堡村</w:t>
            </w:r>
          </w:p>
        </w:tc>
        <w:tc>
          <w:tcPr>
            <w:tcW w:w="4505" w:type="dxa"/>
            <w:shd w:val="clear" w:color="auto" w:fill="auto"/>
            <w:noWrap/>
            <w:vAlign w:val="center"/>
          </w:tcPr>
          <w:p>
            <w:pPr>
              <w:spacing w:line="240" w:lineRule="auto"/>
              <w:jc w:val="center"/>
              <w:rPr>
                <w:rFonts w:hint="eastAsia"/>
                <w:sz w:val="19"/>
              </w:rPr>
            </w:pPr>
            <w:r>
              <w:rPr>
                <w:rFonts w:hint="eastAsia"/>
                <w:sz w:val="19"/>
              </w:rPr>
              <w:t>本溪市桓仁满族自治县G506</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2025</w:t>
            </w:r>
          </w:p>
        </w:tc>
        <w:tc>
          <w:tcPr>
            <w:tcW w:w="752" w:type="dxa"/>
            <w:shd w:val="clear" w:color="auto" w:fill="auto"/>
            <w:noWrap/>
            <w:vAlign w:val="center"/>
          </w:tcPr>
          <w:p>
            <w:pPr>
              <w:spacing w:line="240" w:lineRule="auto"/>
              <w:jc w:val="center"/>
              <w:rPr>
                <w:rFonts w:hint="eastAsia"/>
                <w:sz w:val="19"/>
              </w:rPr>
            </w:pPr>
            <w:r>
              <w:rPr>
                <w:rFonts w:hint="eastAsia"/>
                <w:sz w:val="19"/>
              </w:rPr>
              <w:t>125.1585072</w:t>
            </w:r>
          </w:p>
        </w:tc>
        <w:tc>
          <w:tcPr>
            <w:tcW w:w="752" w:type="dxa"/>
            <w:shd w:val="clear" w:color="auto" w:fill="auto"/>
            <w:noWrap/>
            <w:vAlign w:val="center"/>
          </w:tcPr>
          <w:p>
            <w:pPr>
              <w:spacing w:line="240" w:lineRule="auto"/>
              <w:jc w:val="center"/>
              <w:rPr>
                <w:rFonts w:hint="eastAsia"/>
                <w:sz w:val="19"/>
              </w:rPr>
            </w:pPr>
            <w:r>
              <w:rPr>
                <w:rFonts w:hint="eastAsia"/>
                <w:sz w:val="19"/>
              </w:rPr>
              <w:t>41.35159616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36</w:t>
            </w:r>
          </w:p>
        </w:tc>
        <w:tc>
          <w:tcPr>
            <w:tcW w:w="3575" w:type="dxa"/>
            <w:shd w:val="clear" w:color="auto" w:fill="auto"/>
            <w:noWrap/>
            <w:vAlign w:val="center"/>
          </w:tcPr>
          <w:p>
            <w:pPr>
              <w:spacing w:line="240" w:lineRule="auto"/>
              <w:jc w:val="center"/>
              <w:rPr>
                <w:rFonts w:hint="eastAsia"/>
                <w:sz w:val="19"/>
              </w:rPr>
            </w:pPr>
            <w:r>
              <w:rPr>
                <w:rFonts w:hint="eastAsia"/>
                <w:sz w:val="19"/>
              </w:rPr>
              <w:t>大牛沟村</w:t>
            </w:r>
          </w:p>
        </w:tc>
        <w:tc>
          <w:tcPr>
            <w:tcW w:w="4505" w:type="dxa"/>
            <w:shd w:val="clear" w:color="auto" w:fill="auto"/>
            <w:noWrap/>
            <w:vAlign w:val="center"/>
          </w:tcPr>
          <w:p>
            <w:pPr>
              <w:spacing w:line="240" w:lineRule="auto"/>
              <w:jc w:val="center"/>
              <w:rPr>
                <w:rFonts w:hint="eastAsia"/>
                <w:sz w:val="19"/>
              </w:rPr>
            </w:pPr>
            <w:r>
              <w:rPr>
                <w:rFonts w:hint="eastAsia"/>
                <w:sz w:val="19"/>
              </w:rPr>
              <w:t>北甸子乡</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2026</w:t>
            </w:r>
          </w:p>
        </w:tc>
        <w:tc>
          <w:tcPr>
            <w:tcW w:w="752" w:type="dxa"/>
            <w:shd w:val="clear" w:color="auto" w:fill="auto"/>
            <w:noWrap/>
            <w:vAlign w:val="center"/>
          </w:tcPr>
          <w:p>
            <w:pPr>
              <w:spacing w:line="240" w:lineRule="auto"/>
              <w:jc w:val="center"/>
              <w:rPr>
                <w:rFonts w:hint="eastAsia"/>
                <w:sz w:val="19"/>
              </w:rPr>
            </w:pPr>
            <w:r>
              <w:rPr>
                <w:rFonts w:hint="eastAsia"/>
                <w:sz w:val="19"/>
              </w:rPr>
              <w:t>125.5682344</w:t>
            </w:r>
          </w:p>
        </w:tc>
        <w:tc>
          <w:tcPr>
            <w:tcW w:w="752" w:type="dxa"/>
            <w:shd w:val="clear" w:color="auto" w:fill="auto"/>
            <w:noWrap/>
            <w:vAlign w:val="center"/>
          </w:tcPr>
          <w:p>
            <w:pPr>
              <w:spacing w:line="240" w:lineRule="auto"/>
              <w:jc w:val="center"/>
              <w:rPr>
                <w:rFonts w:hint="eastAsia"/>
                <w:sz w:val="19"/>
              </w:rPr>
            </w:pPr>
            <w:r>
              <w:rPr>
                <w:rFonts w:hint="eastAsia"/>
                <w:sz w:val="19"/>
              </w:rPr>
              <w:t>41.34761606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37</w:t>
            </w:r>
          </w:p>
        </w:tc>
        <w:tc>
          <w:tcPr>
            <w:tcW w:w="3575" w:type="dxa"/>
            <w:shd w:val="clear" w:color="auto" w:fill="auto"/>
            <w:noWrap/>
            <w:vAlign w:val="center"/>
          </w:tcPr>
          <w:p>
            <w:pPr>
              <w:spacing w:line="240" w:lineRule="auto"/>
              <w:jc w:val="center"/>
              <w:rPr>
                <w:rFonts w:hint="eastAsia"/>
                <w:sz w:val="19"/>
              </w:rPr>
            </w:pPr>
            <w:r>
              <w:rPr>
                <w:rFonts w:hint="eastAsia"/>
                <w:sz w:val="19"/>
              </w:rPr>
              <w:t>双合村村委会</w:t>
            </w:r>
          </w:p>
        </w:tc>
        <w:tc>
          <w:tcPr>
            <w:tcW w:w="4505" w:type="dxa"/>
            <w:shd w:val="clear" w:color="auto" w:fill="auto"/>
            <w:noWrap/>
            <w:vAlign w:val="center"/>
          </w:tcPr>
          <w:p>
            <w:pPr>
              <w:spacing w:line="240" w:lineRule="auto"/>
              <w:jc w:val="center"/>
              <w:rPr>
                <w:rFonts w:hint="eastAsia"/>
                <w:sz w:val="19"/>
              </w:rPr>
            </w:pPr>
            <w:r>
              <w:rPr>
                <w:rFonts w:hint="eastAsia"/>
                <w:sz w:val="19"/>
              </w:rPr>
              <w:t>向阳乡向双线与585乡道交叉口西50米</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2027</w:t>
            </w:r>
          </w:p>
        </w:tc>
        <w:tc>
          <w:tcPr>
            <w:tcW w:w="752" w:type="dxa"/>
            <w:shd w:val="clear" w:color="auto" w:fill="auto"/>
            <w:noWrap/>
            <w:vAlign w:val="center"/>
          </w:tcPr>
          <w:p>
            <w:pPr>
              <w:spacing w:line="240" w:lineRule="auto"/>
              <w:jc w:val="center"/>
              <w:rPr>
                <w:rFonts w:hint="eastAsia"/>
                <w:sz w:val="19"/>
              </w:rPr>
            </w:pPr>
            <w:r>
              <w:rPr>
                <w:rFonts w:hint="eastAsia"/>
                <w:sz w:val="19"/>
              </w:rPr>
              <w:t>125.3933694</w:t>
            </w:r>
          </w:p>
        </w:tc>
        <w:tc>
          <w:tcPr>
            <w:tcW w:w="752" w:type="dxa"/>
            <w:shd w:val="clear" w:color="auto" w:fill="auto"/>
            <w:noWrap/>
            <w:vAlign w:val="center"/>
          </w:tcPr>
          <w:p>
            <w:pPr>
              <w:spacing w:line="240" w:lineRule="auto"/>
              <w:jc w:val="center"/>
              <w:rPr>
                <w:rFonts w:hint="eastAsia"/>
                <w:sz w:val="19"/>
              </w:rPr>
            </w:pPr>
            <w:r>
              <w:rPr>
                <w:rFonts w:hint="eastAsia"/>
                <w:sz w:val="19"/>
              </w:rPr>
              <w:t>41.09908215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38</w:t>
            </w:r>
          </w:p>
        </w:tc>
        <w:tc>
          <w:tcPr>
            <w:tcW w:w="3575" w:type="dxa"/>
            <w:shd w:val="clear" w:color="auto" w:fill="auto"/>
            <w:noWrap/>
            <w:vAlign w:val="center"/>
          </w:tcPr>
          <w:p>
            <w:pPr>
              <w:spacing w:line="240" w:lineRule="auto"/>
              <w:jc w:val="center"/>
              <w:rPr>
                <w:rFonts w:hint="eastAsia"/>
                <w:sz w:val="19"/>
              </w:rPr>
            </w:pPr>
            <w:r>
              <w:rPr>
                <w:rFonts w:hint="eastAsia"/>
                <w:sz w:val="19"/>
              </w:rPr>
              <w:t>五女山山城（二期）</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桓仁满族自治县北侧8公里处浑江西北岸</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125.3868088</w:t>
            </w:r>
          </w:p>
        </w:tc>
        <w:tc>
          <w:tcPr>
            <w:tcW w:w="752" w:type="dxa"/>
            <w:shd w:val="clear" w:color="auto" w:fill="auto"/>
            <w:noWrap/>
            <w:vAlign w:val="center"/>
          </w:tcPr>
          <w:p>
            <w:pPr>
              <w:spacing w:line="240" w:lineRule="auto"/>
              <w:jc w:val="center"/>
              <w:rPr>
                <w:rFonts w:hint="eastAsia"/>
                <w:sz w:val="19"/>
              </w:rPr>
            </w:pPr>
            <w:r>
              <w:rPr>
                <w:rFonts w:hint="eastAsia"/>
                <w:sz w:val="19"/>
              </w:rPr>
              <w:t>41.29551986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39</w:t>
            </w:r>
          </w:p>
        </w:tc>
        <w:tc>
          <w:tcPr>
            <w:tcW w:w="3575" w:type="dxa"/>
            <w:shd w:val="clear" w:color="auto" w:fill="auto"/>
            <w:noWrap/>
            <w:vAlign w:val="center"/>
          </w:tcPr>
          <w:p>
            <w:pPr>
              <w:spacing w:line="240" w:lineRule="auto"/>
              <w:jc w:val="center"/>
              <w:rPr>
                <w:rFonts w:hint="eastAsia"/>
                <w:sz w:val="19"/>
              </w:rPr>
            </w:pPr>
            <w:r>
              <w:rPr>
                <w:rFonts w:hint="eastAsia"/>
                <w:sz w:val="19"/>
              </w:rPr>
              <w:t>大雅河漂流景区（二期）</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桓仁满族自治县普乐堡镇老漫子乡</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15</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125.0808152</w:t>
            </w:r>
          </w:p>
        </w:tc>
        <w:tc>
          <w:tcPr>
            <w:tcW w:w="752" w:type="dxa"/>
            <w:shd w:val="clear" w:color="auto" w:fill="auto"/>
            <w:noWrap/>
            <w:vAlign w:val="center"/>
          </w:tcPr>
          <w:p>
            <w:pPr>
              <w:spacing w:line="240" w:lineRule="auto"/>
              <w:jc w:val="center"/>
              <w:rPr>
                <w:rFonts w:hint="eastAsia"/>
                <w:sz w:val="19"/>
              </w:rPr>
            </w:pPr>
            <w:r>
              <w:rPr>
                <w:rFonts w:hint="eastAsia"/>
                <w:sz w:val="19"/>
              </w:rPr>
              <w:t>41.16232003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40</w:t>
            </w:r>
          </w:p>
        </w:tc>
        <w:tc>
          <w:tcPr>
            <w:tcW w:w="3575" w:type="dxa"/>
            <w:shd w:val="clear" w:color="auto" w:fill="auto"/>
            <w:noWrap/>
            <w:vAlign w:val="center"/>
          </w:tcPr>
          <w:p>
            <w:pPr>
              <w:spacing w:line="240" w:lineRule="auto"/>
              <w:jc w:val="center"/>
              <w:rPr>
                <w:rFonts w:hint="eastAsia"/>
                <w:sz w:val="19"/>
              </w:rPr>
            </w:pPr>
            <w:r>
              <w:rPr>
                <w:rFonts w:hint="eastAsia"/>
                <w:sz w:val="19"/>
              </w:rPr>
              <w:t>枫林谷森林公园（二期）</w:t>
            </w:r>
          </w:p>
        </w:tc>
        <w:tc>
          <w:tcPr>
            <w:tcW w:w="4505" w:type="dxa"/>
            <w:shd w:val="clear" w:color="auto" w:fill="auto"/>
            <w:noWrap/>
            <w:vAlign w:val="center"/>
          </w:tcPr>
          <w:p>
            <w:pPr>
              <w:spacing w:line="240" w:lineRule="auto"/>
              <w:jc w:val="center"/>
              <w:rPr>
                <w:rFonts w:hint="eastAsia"/>
                <w:sz w:val="19"/>
              </w:rPr>
            </w:pPr>
            <w:r>
              <w:rPr>
                <w:rFonts w:hint="eastAsia"/>
                <w:sz w:val="19"/>
              </w:rPr>
              <w:t>本溪市桓仁满族自治县向阳乡G11</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125.2186338</w:t>
            </w:r>
          </w:p>
        </w:tc>
        <w:tc>
          <w:tcPr>
            <w:tcW w:w="752" w:type="dxa"/>
            <w:shd w:val="clear" w:color="auto" w:fill="auto"/>
            <w:noWrap/>
            <w:vAlign w:val="center"/>
          </w:tcPr>
          <w:p>
            <w:pPr>
              <w:spacing w:line="240" w:lineRule="auto"/>
              <w:jc w:val="center"/>
              <w:rPr>
                <w:rFonts w:hint="eastAsia"/>
                <w:sz w:val="19"/>
              </w:rPr>
            </w:pPr>
            <w:r>
              <w:rPr>
                <w:rFonts w:hint="eastAsia"/>
                <w:sz w:val="19"/>
              </w:rPr>
              <w:t>41.12479825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41</w:t>
            </w:r>
          </w:p>
        </w:tc>
        <w:tc>
          <w:tcPr>
            <w:tcW w:w="3575" w:type="dxa"/>
            <w:shd w:val="clear" w:color="auto" w:fill="auto"/>
            <w:noWrap/>
            <w:vAlign w:val="center"/>
          </w:tcPr>
          <w:p>
            <w:pPr>
              <w:spacing w:line="240" w:lineRule="auto"/>
              <w:jc w:val="center"/>
              <w:rPr>
                <w:rFonts w:hint="eastAsia"/>
                <w:sz w:val="19"/>
              </w:rPr>
            </w:pPr>
            <w:r>
              <w:rPr>
                <w:rFonts w:hint="eastAsia"/>
                <w:sz w:val="19"/>
              </w:rPr>
              <w:t>虎谷峡景区（二期）</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桓仁满族自治县向阳乡和平村8号</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15</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125.3128528</w:t>
            </w:r>
          </w:p>
        </w:tc>
        <w:tc>
          <w:tcPr>
            <w:tcW w:w="752" w:type="dxa"/>
            <w:shd w:val="clear" w:color="auto" w:fill="auto"/>
            <w:noWrap/>
            <w:vAlign w:val="center"/>
          </w:tcPr>
          <w:p>
            <w:pPr>
              <w:spacing w:line="240" w:lineRule="auto"/>
              <w:jc w:val="center"/>
              <w:rPr>
                <w:rFonts w:hint="eastAsia"/>
                <w:sz w:val="19"/>
              </w:rPr>
            </w:pPr>
            <w:r>
              <w:rPr>
                <w:rFonts w:hint="eastAsia"/>
                <w:sz w:val="19"/>
              </w:rPr>
              <w:t>41.12988331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42</w:t>
            </w:r>
          </w:p>
        </w:tc>
        <w:tc>
          <w:tcPr>
            <w:tcW w:w="3575" w:type="dxa"/>
            <w:shd w:val="clear" w:color="auto" w:fill="auto"/>
            <w:noWrap/>
            <w:vAlign w:val="center"/>
          </w:tcPr>
          <w:p>
            <w:pPr>
              <w:spacing w:line="240" w:lineRule="auto"/>
              <w:jc w:val="center"/>
              <w:rPr>
                <w:rFonts w:hint="eastAsia"/>
                <w:sz w:val="19"/>
              </w:rPr>
            </w:pPr>
            <w:r>
              <w:rPr>
                <w:rFonts w:hint="eastAsia"/>
                <w:sz w:val="19"/>
              </w:rPr>
              <w:t>桓仁满族自治县交通运输局</w:t>
            </w:r>
          </w:p>
        </w:tc>
        <w:tc>
          <w:tcPr>
            <w:tcW w:w="4505" w:type="dxa"/>
            <w:shd w:val="clear" w:color="auto" w:fill="auto"/>
            <w:noWrap/>
            <w:vAlign w:val="center"/>
          </w:tcPr>
          <w:p>
            <w:pPr>
              <w:spacing w:line="240" w:lineRule="auto"/>
              <w:jc w:val="center"/>
              <w:rPr>
                <w:rFonts w:hint="eastAsia"/>
                <w:sz w:val="19"/>
              </w:rPr>
            </w:pPr>
            <w:r>
              <w:rPr>
                <w:rFonts w:hint="eastAsia"/>
                <w:sz w:val="19"/>
              </w:rPr>
              <w:t>院内</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125.3216937</w:t>
            </w:r>
          </w:p>
        </w:tc>
        <w:tc>
          <w:tcPr>
            <w:tcW w:w="752" w:type="dxa"/>
            <w:shd w:val="clear" w:color="auto" w:fill="auto"/>
            <w:noWrap/>
            <w:vAlign w:val="center"/>
          </w:tcPr>
          <w:p>
            <w:pPr>
              <w:spacing w:line="240" w:lineRule="auto"/>
              <w:jc w:val="center"/>
              <w:rPr>
                <w:rFonts w:hint="eastAsia"/>
                <w:sz w:val="19"/>
              </w:rPr>
            </w:pPr>
            <w:r>
              <w:rPr>
                <w:rFonts w:hint="eastAsia"/>
                <w:sz w:val="19"/>
              </w:rPr>
              <w:t>41.27409802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43</w:t>
            </w:r>
          </w:p>
        </w:tc>
        <w:tc>
          <w:tcPr>
            <w:tcW w:w="3575" w:type="dxa"/>
            <w:shd w:val="clear" w:color="auto" w:fill="auto"/>
            <w:noWrap/>
            <w:vAlign w:val="center"/>
          </w:tcPr>
          <w:p>
            <w:pPr>
              <w:spacing w:line="240" w:lineRule="auto"/>
              <w:jc w:val="center"/>
              <w:rPr>
                <w:rFonts w:hint="eastAsia"/>
                <w:sz w:val="19"/>
              </w:rPr>
            </w:pPr>
            <w:r>
              <w:rPr>
                <w:rFonts w:hint="eastAsia"/>
                <w:sz w:val="19"/>
              </w:rPr>
              <w:t>桓仁满族自治县物流中心</w:t>
            </w:r>
          </w:p>
        </w:tc>
        <w:tc>
          <w:tcPr>
            <w:tcW w:w="4505" w:type="dxa"/>
            <w:shd w:val="clear" w:color="auto" w:fill="auto"/>
            <w:noWrap/>
            <w:vAlign w:val="center"/>
          </w:tcPr>
          <w:p>
            <w:pPr>
              <w:spacing w:line="240" w:lineRule="auto"/>
              <w:jc w:val="center"/>
              <w:rPr>
                <w:rFonts w:hint="eastAsia"/>
                <w:sz w:val="19"/>
              </w:rPr>
            </w:pPr>
            <w:r>
              <w:rPr>
                <w:rFonts w:hint="eastAsia"/>
                <w:sz w:val="19"/>
              </w:rPr>
              <w:t>院内</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125.3221715</w:t>
            </w:r>
          </w:p>
        </w:tc>
        <w:tc>
          <w:tcPr>
            <w:tcW w:w="752" w:type="dxa"/>
            <w:shd w:val="clear" w:color="auto" w:fill="auto"/>
            <w:noWrap/>
            <w:vAlign w:val="center"/>
          </w:tcPr>
          <w:p>
            <w:pPr>
              <w:spacing w:line="240" w:lineRule="auto"/>
              <w:jc w:val="center"/>
              <w:rPr>
                <w:rFonts w:hint="eastAsia"/>
                <w:sz w:val="19"/>
              </w:rPr>
            </w:pPr>
            <w:r>
              <w:rPr>
                <w:rFonts w:hint="eastAsia"/>
                <w:sz w:val="19"/>
              </w:rPr>
              <w:t>41.27862082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44</w:t>
            </w:r>
          </w:p>
        </w:tc>
        <w:tc>
          <w:tcPr>
            <w:tcW w:w="3575" w:type="dxa"/>
            <w:shd w:val="clear" w:color="auto" w:fill="auto"/>
            <w:noWrap/>
            <w:vAlign w:val="center"/>
          </w:tcPr>
          <w:p>
            <w:pPr>
              <w:spacing w:line="240" w:lineRule="auto"/>
              <w:jc w:val="center"/>
              <w:rPr>
                <w:rFonts w:hint="eastAsia"/>
                <w:sz w:val="19"/>
              </w:rPr>
            </w:pPr>
            <w:r>
              <w:rPr>
                <w:rFonts w:hint="eastAsia"/>
                <w:sz w:val="19"/>
              </w:rPr>
              <w:t>北岔村村部停车场</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桓仁满族自治县向阳乡北岔向北线北</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125.3938993</w:t>
            </w:r>
          </w:p>
        </w:tc>
        <w:tc>
          <w:tcPr>
            <w:tcW w:w="752" w:type="dxa"/>
            <w:shd w:val="clear" w:color="auto" w:fill="auto"/>
            <w:noWrap/>
            <w:vAlign w:val="center"/>
          </w:tcPr>
          <w:p>
            <w:pPr>
              <w:spacing w:line="240" w:lineRule="auto"/>
              <w:jc w:val="center"/>
              <w:rPr>
                <w:rFonts w:hint="eastAsia"/>
                <w:sz w:val="19"/>
              </w:rPr>
            </w:pPr>
            <w:r>
              <w:rPr>
                <w:rFonts w:hint="eastAsia"/>
                <w:sz w:val="19"/>
              </w:rPr>
              <w:t>41.13999038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45</w:t>
            </w:r>
          </w:p>
        </w:tc>
        <w:tc>
          <w:tcPr>
            <w:tcW w:w="3575" w:type="dxa"/>
            <w:shd w:val="clear" w:color="auto" w:fill="auto"/>
            <w:noWrap/>
            <w:vAlign w:val="center"/>
          </w:tcPr>
          <w:p>
            <w:pPr>
              <w:spacing w:line="240" w:lineRule="auto"/>
              <w:jc w:val="center"/>
              <w:rPr>
                <w:rFonts w:hint="eastAsia"/>
                <w:sz w:val="19"/>
              </w:rPr>
            </w:pPr>
            <w:r>
              <w:rPr>
                <w:rFonts w:hint="eastAsia"/>
                <w:sz w:val="19"/>
              </w:rPr>
              <w:t>向阳村村部停车场</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桓仁满族自治县凤向线与向双线交叉路口往北约120米</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125.3720637</w:t>
            </w:r>
          </w:p>
        </w:tc>
        <w:tc>
          <w:tcPr>
            <w:tcW w:w="752" w:type="dxa"/>
            <w:shd w:val="clear" w:color="auto" w:fill="auto"/>
            <w:noWrap/>
            <w:vAlign w:val="center"/>
          </w:tcPr>
          <w:p>
            <w:pPr>
              <w:spacing w:line="240" w:lineRule="auto"/>
              <w:jc w:val="center"/>
              <w:rPr>
                <w:rFonts w:hint="eastAsia"/>
                <w:sz w:val="19"/>
              </w:rPr>
            </w:pPr>
            <w:r>
              <w:rPr>
                <w:rFonts w:hint="eastAsia"/>
                <w:sz w:val="19"/>
              </w:rPr>
              <w:t>41.10261043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46</w:t>
            </w:r>
          </w:p>
        </w:tc>
        <w:tc>
          <w:tcPr>
            <w:tcW w:w="3575" w:type="dxa"/>
            <w:shd w:val="clear" w:color="auto" w:fill="auto"/>
            <w:noWrap/>
            <w:vAlign w:val="center"/>
          </w:tcPr>
          <w:p>
            <w:pPr>
              <w:spacing w:line="240" w:lineRule="auto"/>
              <w:jc w:val="center"/>
              <w:rPr>
                <w:rFonts w:hint="eastAsia"/>
                <w:sz w:val="19"/>
              </w:rPr>
            </w:pPr>
            <w:r>
              <w:rPr>
                <w:rFonts w:hint="eastAsia"/>
                <w:sz w:val="19"/>
              </w:rPr>
              <w:t>回龙山村村部停车场</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桓仁满族自治县向阳乡爬宝线</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125.2858502</w:t>
            </w:r>
          </w:p>
        </w:tc>
        <w:tc>
          <w:tcPr>
            <w:tcW w:w="752" w:type="dxa"/>
            <w:shd w:val="clear" w:color="auto" w:fill="auto"/>
            <w:noWrap/>
            <w:vAlign w:val="center"/>
          </w:tcPr>
          <w:p>
            <w:pPr>
              <w:spacing w:line="240" w:lineRule="auto"/>
              <w:jc w:val="center"/>
              <w:rPr>
                <w:rFonts w:hint="eastAsia"/>
                <w:sz w:val="19"/>
              </w:rPr>
            </w:pPr>
            <w:r>
              <w:rPr>
                <w:rFonts w:hint="eastAsia"/>
                <w:sz w:val="19"/>
              </w:rPr>
              <w:t>41.09284276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47</w:t>
            </w:r>
          </w:p>
        </w:tc>
        <w:tc>
          <w:tcPr>
            <w:tcW w:w="3575" w:type="dxa"/>
            <w:shd w:val="clear" w:color="auto" w:fill="auto"/>
            <w:noWrap/>
            <w:vAlign w:val="center"/>
          </w:tcPr>
          <w:p>
            <w:pPr>
              <w:spacing w:line="240" w:lineRule="auto"/>
              <w:jc w:val="center"/>
              <w:rPr>
                <w:rFonts w:hint="eastAsia"/>
                <w:sz w:val="19"/>
              </w:rPr>
            </w:pPr>
            <w:r>
              <w:rPr>
                <w:rFonts w:hint="eastAsia"/>
                <w:sz w:val="19"/>
              </w:rPr>
              <w:t>爬宝山村村部停车场</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桓仁满族自治县向阳乡15爬宝线东30米</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125.3074807</w:t>
            </w:r>
          </w:p>
        </w:tc>
        <w:tc>
          <w:tcPr>
            <w:tcW w:w="752" w:type="dxa"/>
            <w:shd w:val="clear" w:color="auto" w:fill="auto"/>
            <w:noWrap/>
            <w:vAlign w:val="center"/>
          </w:tcPr>
          <w:p>
            <w:pPr>
              <w:spacing w:line="240" w:lineRule="auto"/>
              <w:jc w:val="center"/>
              <w:rPr>
                <w:rFonts w:hint="eastAsia"/>
                <w:sz w:val="19"/>
              </w:rPr>
            </w:pPr>
            <w:r>
              <w:rPr>
                <w:rFonts w:hint="eastAsia"/>
                <w:sz w:val="19"/>
              </w:rPr>
              <w:t>41.11169387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48</w:t>
            </w:r>
          </w:p>
        </w:tc>
        <w:tc>
          <w:tcPr>
            <w:tcW w:w="3575" w:type="dxa"/>
            <w:shd w:val="clear" w:color="auto" w:fill="auto"/>
            <w:noWrap/>
            <w:vAlign w:val="center"/>
          </w:tcPr>
          <w:p>
            <w:pPr>
              <w:spacing w:line="240" w:lineRule="auto"/>
              <w:jc w:val="center"/>
              <w:rPr>
                <w:rFonts w:hint="eastAsia"/>
                <w:sz w:val="19"/>
              </w:rPr>
            </w:pPr>
            <w:r>
              <w:rPr>
                <w:rFonts w:hint="eastAsia"/>
                <w:sz w:val="19"/>
              </w:rPr>
              <w:t>和平村村部停车场</w:t>
            </w:r>
          </w:p>
        </w:tc>
        <w:tc>
          <w:tcPr>
            <w:tcW w:w="4505" w:type="dxa"/>
            <w:shd w:val="clear" w:color="auto" w:fill="auto"/>
            <w:noWrap/>
            <w:vAlign w:val="center"/>
          </w:tcPr>
          <w:p>
            <w:pPr>
              <w:spacing w:line="240" w:lineRule="auto"/>
              <w:jc w:val="center"/>
              <w:rPr>
                <w:rFonts w:hint="eastAsia"/>
                <w:sz w:val="19"/>
              </w:rPr>
            </w:pPr>
            <w:r>
              <w:rPr>
                <w:rFonts w:hint="eastAsia"/>
                <w:sz w:val="19"/>
              </w:rPr>
              <w:t>本溪市桓仁满族自治县向阳乡</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125.3016762</w:t>
            </w:r>
          </w:p>
        </w:tc>
        <w:tc>
          <w:tcPr>
            <w:tcW w:w="752" w:type="dxa"/>
            <w:shd w:val="clear" w:color="auto" w:fill="auto"/>
            <w:noWrap/>
            <w:vAlign w:val="center"/>
          </w:tcPr>
          <w:p>
            <w:pPr>
              <w:spacing w:line="240" w:lineRule="auto"/>
              <w:jc w:val="center"/>
              <w:rPr>
                <w:rFonts w:hint="eastAsia"/>
                <w:sz w:val="19"/>
              </w:rPr>
            </w:pPr>
            <w:r>
              <w:rPr>
                <w:rFonts w:hint="eastAsia"/>
                <w:sz w:val="19"/>
              </w:rPr>
              <w:t>41.12855595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49</w:t>
            </w:r>
          </w:p>
        </w:tc>
        <w:tc>
          <w:tcPr>
            <w:tcW w:w="3575" w:type="dxa"/>
            <w:shd w:val="clear" w:color="auto" w:fill="auto"/>
            <w:noWrap/>
            <w:vAlign w:val="center"/>
          </w:tcPr>
          <w:p>
            <w:pPr>
              <w:spacing w:line="240" w:lineRule="auto"/>
              <w:jc w:val="center"/>
              <w:rPr>
                <w:rFonts w:hint="eastAsia"/>
                <w:sz w:val="19"/>
              </w:rPr>
            </w:pPr>
            <w:r>
              <w:rPr>
                <w:rFonts w:hint="eastAsia"/>
                <w:sz w:val="19"/>
              </w:rPr>
              <w:t>普乐堡镇夹道子村村部</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桓仁满族自治县普乐堡镇老夹线</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124.9376061</w:t>
            </w:r>
          </w:p>
        </w:tc>
        <w:tc>
          <w:tcPr>
            <w:tcW w:w="752" w:type="dxa"/>
            <w:shd w:val="clear" w:color="auto" w:fill="auto"/>
            <w:noWrap/>
            <w:vAlign w:val="center"/>
          </w:tcPr>
          <w:p>
            <w:pPr>
              <w:spacing w:line="240" w:lineRule="auto"/>
              <w:jc w:val="center"/>
              <w:rPr>
                <w:rFonts w:hint="eastAsia"/>
                <w:sz w:val="19"/>
              </w:rPr>
            </w:pPr>
            <w:r>
              <w:rPr>
                <w:rFonts w:hint="eastAsia"/>
                <w:sz w:val="19"/>
              </w:rPr>
              <w:t>41.12596472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50</w:t>
            </w:r>
          </w:p>
        </w:tc>
        <w:tc>
          <w:tcPr>
            <w:tcW w:w="3575" w:type="dxa"/>
            <w:shd w:val="clear" w:color="auto" w:fill="auto"/>
            <w:noWrap/>
            <w:vAlign w:val="center"/>
          </w:tcPr>
          <w:p>
            <w:pPr>
              <w:spacing w:line="240" w:lineRule="auto"/>
              <w:jc w:val="center"/>
              <w:rPr>
                <w:rFonts w:hint="eastAsia"/>
                <w:sz w:val="19"/>
              </w:rPr>
            </w:pPr>
            <w:r>
              <w:rPr>
                <w:rFonts w:hint="eastAsia"/>
                <w:sz w:val="19"/>
              </w:rPr>
              <w:t>梨树村村部</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桓仁满族自治县桓仁镇大雅河西街10</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125.1572371</w:t>
            </w:r>
          </w:p>
        </w:tc>
        <w:tc>
          <w:tcPr>
            <w:tcW w:w="752" w:type="dxa"/>
            <w:shd w:val="clear" w:color="auto" w:fill="auto"/>
            <w:noWrap/>
            <w:vAlign w:val="center"/>
          </w:tcPr>
          <w:p>
            <w:pPr>
              <w:spacing w:line="240" w:lineRule="auto"/>
              <w:jc w:val="center"/>
              <w:rPr>
                <w:rFonts w:hint="eastAsia"/>
                <w:sz w:val="19"/>
              </w:rPr>
            </w:pPr>
            <w:r>
              <w:rPr>
                <w:rFonts w:hint="eastAsia"/>
                <w:sz w:val="19"/>
              </w:rPr>
              <w:t>41.17831844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51</w:t>
            </w:r>
          </w:p>
        </w:tc>
        <w:tc>
          <w:tcPr>
            <w:tcW w:w="3575" w:type="dxa"/>
            <w:shd w:val="clear" w:color="auto" w:fill="auto"/>
            <w:noWrap/>
            <w:vAlign w:val="center"/>
          </w:tcPr>
          <w:p>
            <w:pPr>
              <w:spacing w:line="240" w:lineRule="auto"/>
              <w:jc w:val="center"/>
              <w:rPr>
                <w:rFonts w:hint="eastAsia"/>
                <w:sz w:val="19"/>
              </w:rPr>
            </w:pPr>
            <w:r>
              <w:rPr>
                <w:rFonts w:hint="eastAsia"/>
                <w:sz w:val="19"/>
              </w:rPr>
              <w:t>普乐堡村村部</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桓仁满族自治县201国道北50米</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2026</w:t>
            </w:r>
          </w:p>
        </w:tc>
        <w:tc>
          <w:tcPr>
            <w:tcW w:w="752" w:type="dxa"/>
            <w:shd w:val="clear" w:color="auto" w:fill="auto"/>
            <w:noWrap/>
            <w:vAlign w:val="center"/>
          </w:tcPr>
          <w:p>
            <w:pPr>
              <w:spacing w:line="240" w:lineRule="auto"/>
              <w:jc w:val="center"/>
              <w:rPr>
                <w:rFonts w:hint="eastAsia"/>
                <w:sz w:val="19"/>
              </w:rPr>
            </w:pPr>
            <w:r>
              <w:rPr>
                <w:rFonts w:hint="eastAsia"/>
                <w:sz w:val="19"/>
              </w:rPr>
              <w:t>125.1596168</w:t>
            </w:r>
          </w:p>
        </w:tc>
        <w:tc>
          <w:tcPr>
            <w:tcW w:w="752" w:type="dxa"/>
            <w:shd w:val="clear" w:color="auto" w:fill="auto"/>
            <w:noWrap/>
            <w:vAlign w:val="center"/>
          </w:tcPr>
          <w:p>
            <w:pPr>
              <w:spacing w:line="240" w:lineRule="auto"/>
              <w:jc w:val="center"/>
              <w:rPr>
                <w:rFonts w:hint="eastAsia"/>
                <w:sz w:val="19"/>
              </w:rPr>
            </w:pPr>
            <w:r>
              <w:rPr>
                <w:rFonts w:hint="eastAsia"/>
                <w:sz w:val="19"/>
              </w:rPr>
              <w:t>41.17968665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52</w:t>
            </w:r>
          </w:p>
        </w:tc>
        <w:tc>
          <w:tcPr>
            <w:tcW w:w="3575" w:type="dxa"/>
            <w:shd w:val="clear" w:color="auto" w:fill="auto"/>
            <w:noWrap/>
            <w:vAlign w:val="center"/>
          </w:tcPr>
          <w:p>
            <w:pPr>
              <w:spacing w:line="240" w:lineRule="auto"/>
              <w:jc w:val="center"/>
              <w:rPr>
                <w:rFonts w:hint="eastAsia"/>
                <w:sz w:val="19"/>
              </w:rPr>
            </w:pPr>
            <w:r>
              <w:rPr>
                <w:rFonts w:hint="eastAsia"/>
                <w:sz w:val="19"/>
              </w:rPr>
              <w:t>瓦房村部</w:t>
            </w:r>
          </w:p>
        </w:tc>
        <w:tc>
          <w:tcPr>
            <w:tcW w:w="4505" w:type="dxa"/>
            <w:shd w:val="clear" w:color="auto" w:fill="auto"/>
            <w:noWrap/>
            <w:vAlign w:val="center"/>
          </w:tcPr>
          <w:p>
            <w:pPr>
              <w:spacing w:line="240" w:lineRule="auto"/>
              <w:jc w:val="center"/>
              <w:rPr>
                <w:rFonts w:hint="eastAsia"/>
                <w:sz w:val="19"/>
              </w:rPr>
            </w:pPr>
            <w:r>
              <w:rPr>
                <w:rFonts w:hint="eastAsia"/>
                <w:sz w:val="19"/>
              </w:rPr>
              <w:t>本溪满族自治县普乐堡镇508县道</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124.0685875</w:t>
            </w:r>
          </w:p>
        </w:tc>
        <w:tc>
          <w:tcPr>
            <w:tcW w:w="752" w:type="dxa"/>
            <w:shd w:val="clear" w:color="auto" w:fill="auto"/>
            <w:noWrap/>
            <w:vAlign w:val="center"/>
          </w:tcPr>
          <w:p>
            <w:pPr>
              <w:spacing w:line="240" w:lineRule="auto"/>
              <w:jc w:val="center"/>
              <w:rPr>
                <w:rFonts w:hint="eastAsia"/>
                <w:sz w:val="19"/>
              </w:rPr>
            </w:pPr>
            <w:r>
              <w:rPr>
                <w:rFonts w:hint="eastAsia"/>
                <w:sz w:val="19"/>
              </w:rPr>
              <w:t>40.98651561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53</w:t>
            </w:r>
          </w:p>
        </w:tc>
        <w:tc>
          <w:tcPr>
            <w:tcW w:w="3575" w:type="dxa"/>
            <w:shd w:val="clear" w:color="auto" w:fill="auto"/>
            <w:noWrap/>
            <w:vAlign w:val="center"/>
          </w:tcPr>
          <w:p>
            <w:pPr>
              <w:spacing w:line="240" w:lineRule="auto"/>
              <w:jc w:val="center"/>
              <w:rPr>
                <w:rFonts w:hint="eastAsia"/>
                <w:sz w:val="19"/>
              </w:rPr>
            </w:pPr>
            <w:r>
              <w:rPr>
                <w:rFonts w:hint="eastAsia"/>
                <w:sz w:val="19"/>
              </w:rPr>
              <w:t>龙泉村村部</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桓仁满族自治县普乐堡镇G201(鹤大线)</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2026</w:t>
            </w:r>
          </w:p>
        </w:tc>
        <w:tc>
          <w:tcPr>
            <w:tcW w:w="752" w:type="dxa"/>
            <w:shd w:val="clear" w:color="auto" w:fill="auto"/>
            <w:noWrap/>
            <w:vAlign w:val="center"/>
          </w:tcPr>
          <w:p>
            <w:pPr>
              <w:spacing w:line="240" w:lineRule="auto"/>
              <w:jc w:val="center"/>
              <w:rPr>
                <w:rFonts w:hint="eastAsia"/>
                <w:sz w:val="19"/>
              </w:rPr>
            </w:pPr>
            <w:r>
              <w:rPr>
                <w:rFonts w:hint="eastAsia"/>
                <w:sz w:val="19"/>
              </w:rPr>
              <w:t>125.2022059</w:t>
            </w:r>
          </w:p>
        </w:tc>
        <w:tc>
          <w:tcPr>
            <w:tcW w:w="752" w:type="dxa"/>
            <w:shd w:val="clear" w:color="auto" w:fill="auto"/>
            <w:noWrap/>
            <w:vAlign w:val="center"/>
          </w:tcPr>
          <w:p>
            <w:pPr>
              <w:spacing w:line="240" w:lineRule="auto"/>
              <w:jc w:val="center"/>
              <w:rPr>
                <w:rFonts w:hint="eastAsia"/>
                <w:sz w:val="19"/>
              </w:rPr>
            </w:pPr>
            <w:r>
              <w:rPr>
                <w:rFonts w:hint="eastAsia"/>
                <w:sz w:val="19"/>
              </w:rPr>
              <w:t>41.19823626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54</w:t>
            </w:r>
          </w:p>
        </w:tc>
        <w:tc>
          <w:tcPr>
            <w:tcW w:w="3575" w:type="dxa"/>
            <w:shd w:val="clear" w:color="auto" w:fill="auto"/>
            <w:noWrap/>
            <w:vAlign w:val="center"/>
          </w:tcPr>
          <w:p>
            <w:pPr>
              <w:spacing w:line="240" w:lineRule="auto"/>
              <w:jc w:val="center"/>
              <w:rPr>
                <w:rFonts w:hint="eastAsia"/>
                <w:sz w:val="19"/>
              </w:rPr>
            </w:pPr>
            <w:r>
              <w:rPr>
                <w:rFonts w:hint="eastAsia"/>
                <w:sz w:val="19"/>
              </w:rPr>
              <w:t>英英沟村</w:t>
            </w:r>
          </w:p>
        </w:tc>
        <w:tc>
          <w:tcPr>
            <w:tcW w:w="4505" w:type="dxa"/>
            <w:shd w:val="clear" w:color="auto" w:fill="auto"/>
            <w:noWrap/>
            <w:vAlign w:val="center"/>
          </w:tcPr>
          <w:p>
            <w:pPr>
              <w:spacing w:line="240" w:lineRule="auto"/>
              <w:jc w:val="center"/>
              <w:rPr>
                <w:rFonts w:hint="eastAsia"/>
                <w:sz w:val="19"/>
              </w:rPr>
            </w:pPr>
            <w:r>
              <w:rPr>
                <w:rFonts w:hint="eastAsia"/>
                <w:sz w:val="19"/>
              </w:rPr>
              <w:t>英英沟村村文化广场</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125.5195224</w:t>
            </w:r>
          </w:p>
        </w:tc>
        <w:tc>
          <w:tcPr>
            <w:tcW w:w="752" w:type="dxa"/>
            <w:shd w:val="clear" w:color="auto" w:fill="auto"/>
            <w:noWrap/>
            <w:vAlign w:val="center"/>
          </w:tcPr>
          <w:p>
            <w:pPr>
              <w:spacing w:line="240" w:lineRule="auto"/>
              <w:jc w:val="center"/>
              <w:rPr>
                <w:rFonts w:hint="eastAsia"/>
                <w:sz w:val="19"/>
              </w:rPr>
            </w:pPr>
            <w:r>
              <w:rPr>
                <w:rFonts w:hint="eastAsia"/>
                <w:sz w:val="19"/>
              </w:rPr>
              <w:t>41.36854443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55</w:t>
            </w:r>
          </w:p>
        </w:tc>
        <w:tc>
          <w:tcPr>
            <w:tcW w:w="3575" w:type="dxa"/>
            <w:shd w:val="clear" w:color="auto" w:fill="auto"/>
            <w:noWrap/>
            <w:vAlign w:val="center"/>
          </w:tcPr>
          <w:p>
            <w:pPr>
              <w:spacing w:line="240" w:lineRule="auto"/>
              <w:jc w:val="center"/>
              <w:rPr>
                <w:rFonts w:hint="eastAsia"/>
                <w:sz w:val="19"/>
              </w:rPr>
            </w:pPr>
            <w:r>
              <w:rPr>
                <w:rFonts w:hint="eastAsia"/>
                <w:sz w:val="19"/>
              </w:rPr>
              <w:t>北甸子村</w:t>
            </w:r>
          </w:p>
        </w:tc>
        <w:tc>
          <w:tcPr>
            <w:tcW w:w="4505" w:type="dxa"/>
            <w:shd w:val="clear" w:color="auto" w:fill="auto"/>
            <w:noWrap/>
            <w:vAlign w:val="center"/>
          </w:tcPr>
          <w:p>
            <w:pPr>
              <w:spacing w:line="240" w:lineRule="auto"/>
              <w:jc w:val="center"/>
              <w:rPr>
                <w:rFonts w:hint="eastAsia"/>
                <w:sz w:val="19"/>
              </w:rPr>
            </w:pPr>
            <w:r>
              <w:rPr>
                <w:rFonts w:hint="eastAsia"/>
                <w:sz w:val="19"/>
              </w:rPr>
              <w:t>北甸子村村文化广场</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125.5616286</w:t>
            </w:r>
          </w:p>
        </w:tc>
        <w:tc>
          <w:tcPr>
            <w:tcW w:w="752" w:type="dxa"/>
            <w:shd w:val="clear" w:color="auto" w:fill="auto"/>
            <w:noWrap/>
            <w:vAlign w:val="center"/>
          </w:tcPr>
          <w:p>
            <w:pPr>
              <w:spacing w:line="240" w:lineRule="auto"/>
              <w:jc w:val="center"/>
              <w:rPr>
                <w:rFonts w:hint="eastAsia"/>
                <w:sz w:val="19"/>
              </w:rPr>
            </w:pPr>
            <w:r>
              <w:rPr>
                <w:rFonts w:hint="eastAsia"/>
                <w:sz w:val="19"/>
              </w:rPr>
              <w:t>41.37037695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56</w:t>
            </w:r>
          </w:p>
        </w:tc>
        <w:tc>
          <w:tcPr>
            <w:tcW w:w="3575" w:type="dxa"/>
            <w:shd w:val="clear" w:color="auto" w:fill="auto"/>
            <w:noWrap/>
            <w:vAlign w:val="center"/>
          </w:tcPr>
          <w:p>
            <w:pPr>
              <w:spacing w:line="240" w:lineRule="auto"/>
              <w:jc w:val="center"/>
              <w:rPr>
                <w:rFonts w:hint="eastAsia"/>
                <w:sz w:val="19"/>
              </w:rPr>
            </w:pPr>
            <w:r>
              <w:rPr>
                <w:rFonts w:hint="eastAsia"/>
                <w:sz w:val="19"/>
              </w:rPr>
              <w:t>长春沟村</w:t>
            </w:r>
          </w:p>
        </w:tc>
        <w:tc>
          <w:tcPr>
            <w:tcW w:w="4505" w:type="dxa"/>
            <w:shd w:val="clear" w:color="auto" w:fill="auto"/>
            <w:noWrap/>
            <w:vAlign w:val="center"/>
          </w:tcPr>
          <w:p>
            <w:pPr>
              <w:spacing w:line="240" w:lineRule="auto"/>
              <w:jc w:val="center"/>
              <w:rPr>
                <w:rFonts w:hint="eastAsia"/>
                <w:sz w:val="19"/>
              </w:rPr>
            </w:pPr>
            <w:r>
              <w:rPr>
                <w:rFonts w:hint="eastAsia"/>
                <w:sz w:val="19"/>
              </w:rPr>
              <w:t>长春沟村文化广场</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125.5603503</w:t>
            </w:r>
          </w:p>
        </w:tc>
        <w:tc>
          <w:tcPr>
            <w:tcW w:w="752" w:type="dxa"/>
            <w:shd w:val="clear" w:color="auto" w:fill="auto"/>
            <w:noWrap/>
            <w:vAlign w:val="center"/>
          </w:tcPr>
          <w:p>
            <w:pPr>
              <w:spacing w:line="240" w:lineRule="auto"/>
              <w:jc w:val="center"/>
              <w:rPr>
                <w:rFonts w:hint="eastAsia"/>
                <w:sz w:val="19"/>
              </w:rPr>
            </w:pPr>
            <w:r>
              <w:rPr>
                <w:rFonts w:hint="eastAsia"/>
                <w:sz w:val="19"/>
              </w:rPr>
              <w:t>41.31387086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57</w:t>
            </w:r>
          </w:p>
        </w:tc>
        <w:tc>
          <w:tcPr>
            <w:tcW w:w="3575" w:type="dxa"/>
            <w:shd w:val="clear" w:color="auto" w:fill="auto"/>
            <w:noWrap/>
            <w:vAlign w:val="center"/>
          </w:tcPr>
          <w:p>
            <w:pPr>
              <w:spacing w:line="240" w:lineRule="auto"/>
              <w:jc w:val="center"/>
              <w:rPr>
                <w:rFonts w:hint="eastAsia"/>
                <w:sz w:val="19"/>
              </w:rPr>
            </w:pPr>
            <w:r>
              <w:rPr>
                <w:rFonts w:hint="eastAsia"/>
                <w:sz w:val="19"/>
              </w:rPr>
              <w:t>湾龙背村</w:t>
            </w:r>
          </w:p>
        </w:tc>
        <w:tc>
          <w:tcPr>
            <w:tcW w:w="4505" w:type="dxa"/>
            <w:shd w:val="clear" w:color="auto" w:fill="auto"/>
            <w:noWrap/>
            <w:vAlign w:val="center"/>
          </w:tcPr>
          <w:p>
            <w:pPr>
              <w:spacing w:line="240" w:lineRule="auto"/>
              <w:jc w:val="center"/>
              <w:rPr>
                <w:rFonts w:hint="eastAsia"/>
                <w:sz w:val="19"/>
              </w:rPr>
            </w:pPr>
            <w:r>
              <w:rPr>
                <w:rFonts w:hint="eastAsia"/>
                <w:sz w:val="19"/>
              </w:rPr>
              <w:t>湾龙背村文化广场</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125.5914052</w:t>
            </w:r>
          </w:p>
        </w:tc>
        <w:tc>
          <w:tcPr>
            <w:tcW w:w="752" w:type="dxa"/>
            <w:shd w:val="clear" w:color="auto" w:fill="auto"/>
            <w:noWrap/>
            <w:vAlign w:val="center"/>
          </w:tcPr>
          <w:p>
            <w:pPr>
              <w:spacing w:line="240" w:lineRule="auto"/>
              <w:jc w:val="center"/>
              <w:rPr>
                <w:rFonts w:hint="eastAsia"/>
                <w:sz w:val="19"/>
              </w:rPr>
            </w:pPr>
            <w:r>
              <w:rPr>
                <w:rFonts w:hint="eastAsia"/>
                <w:sz w:val="19"/>
              </w:rPr>
              <w:t>41.32591982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58</w:t>
            </w:r>
          </w:p>
        </w:tc>
        <w:tc>
          <w:tcPr>
            <w:tcW w:w="3575" w:type="dxa"/>
            <w:shd w:val="clear" w:color="auto" w:fill="auto"/>
            <w:noWrap/>
            <w:vAlign w:val="center"/>
          </w:tcPr>
          <w:p>
            <w:pPr>
              <w:spacing w:line="240" w:lineRule="auto"/>
              <w:jc w:val="center"/>
              <w:rPr>
                <w:rFonts w:hint="eastAsia"/>
                <w:sz w:val="19"/>
              </w:rPr>
            </w:pPr>
            <w:r>
              <w:rPr>
                <w:rFonts w:hint="eastAsia"/>
                <w:sz w:val="19"/>
              </w:rPr>
              <w:t>友谊村</w:t>
            </w:r>
          </w:p>
        </w:tc>
        <w:tc>
          <w:tcPr>
            <w:tcW w:w="4505" w:type="dxa"/>
            <w:shd w:val="clear" w:color="auto" w:fill="auto"/>
            <w:noWrap/>
            <w:vAlign w:val="center"/>
          </w:tcPr>
          <w:p>
            <w:pPr>
              <w:spacing w:line="240" w:lineRule="auto"/>
              <w:jc w:val="center"/>
              <w:rPr>
                <w:rFonts w:hint="eastAsia"/>
                <w:sz w:val="19"/>
              </w:rPr>
            </w:pPr>
            <w:r>
              <w:rPr>
                <w:rFonts w:hint="eastAsia"/>
                <w:sz w:val="19"/>
              </w:rPr>
              <w:t>友谊村文化广场</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125.5493624</w:t>
            </w:r>
          </w:p>
        </w:tc>
        <w:tc>
          <w:tcPr>
            <w:tcW w:w="752" w:type="dxa"/>
            <w:shd w:val="clear" w:color="auto" w:fill="auto"/>
            <w:noWrap/>
            <w:vAlign w:val="center"/>
          </w:tcPr>
          <w:p>
            <w:pPr>
              <w:spacing w:line="240" w:lineRule="auto"/>
              <w:jc w:val="center"/>
              <w:rPr>
                <w:rFonts w:hint="eastAsia"/>
                <w:sz w:val="19"/>
              </w:rPr>
            </w:pPr>
            <w:r>
              <w:rPr>
                <w:rFonts w:hint="eastAsia"/>
                <w:sz w:val="19"/>
              </w:rPr>
              <w:t>41.36333981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59</w:t>
            </w:r>
          </w:p>
        </w:tc>
        <w:tc>
          <w:tcPr>
            <w:tcW w:w="3575" w:type="dxa"/>
            <w:shd w:val="clear" w:color="auto" w:fill="auto"/>
            <w:noWrap/>
            <w:vAlign w:val="center"/>
          </w:tcPr>
          <w:p>
            <w:pPr>
              <w:spacing w:line="240" w:lineRule="auto"/>
              <w:jc w:val="center"/>
              <w:rPr>
                <w:rFonts w:hint="eastAsia"/>
                <w:sz w:val="19"/>
              </w:rPr>
            </w:pPr>
            <w:r>
              <w:rPr>
                <w:rFonts w:hint="eastAsia"/>
                <w:sz w:val="19"/>
              </w:rPr>
              <w:t>东堡村</w:t>
            </w:r>
          </w:p>
        </w:tc>
        <w:tc>
          <w:tcPr>
            <w:tcW w:w="4505" w:type="dxa"/>
            <w:shd w:val="clear" w:color="auto" w:fill="auto"/>
            <w:noWrap/>
            <w:vAlign w:val="center"/>
          </w:tcPr>
          <w:p>
            <w:pPr>
              <w:spacing w:line="240" w:lineRule="auto"/>
              <w:jc w:val="center"/>
              <w:rPr>
                <w:rFonts w:hint="eastAsia"/>
                <w:sz w:val="19"/>
              </w:rPr>
            </w:pPr>
            <w:r>
              <w:rPr>
                <w:rFonts w:hint="eastAsia"/>
                <w:sz w:val="19"/>
              </w:rPr>
              <w:t>东堡村村部</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125.0308621</w:t>
            </w:r>
          </w:p>
        </w:tc>
        <w:tc>
          <w:tcPr>
            <w:tcW w:w="752" w:type="dxa"/>
            <w:shd w:val="clear" w:color="auto" w:fill="auto"/>
            <w:noWrap/>
            <w:vAlign w:val="center"/>
          </w:tcPr>
          <w:p>
            <w:pPr>
              <w:spacing w:line="240" w:lineRule="auto"/>
              <w:jc w:val="center"/>
              <w:rPr>
                <w:rFonts w:hint="eastAsia"/>
                <w:sz w:val="19"/>
              </w:rPr>
            </w:pPr>
            <w:r>
              <w:rPr>
                <w:rFonts w:hint="eastAsia"/>
                <w:sz w:val="19"/>
              </w:rPr>
              <w:t>41.41024253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60</w:t>
            </w:r>
          </w:p>
        </w:tc>
        <w:tc>
          <w:tcPr>
            <w:tcW w:w="3575" w:type="dxa"/>
            <w:shd w:val="clear" w:color="auto" w:fill="auto"/>
            <w:noWrap/>
            <w:vAlign w:val="center"/>
          </w:tcPr>
          <w:p>
            <w:pPr>
              <w:spacing w:line="240" w:lineRule="auto"/>
              <w:jc w:val="center"/>
              <w:rPr>
                <w:rFonts w:hint="eastAsia"/>
                <w:sz w:val="19"/>
              </w:rPr>
            </w:pPr>
            <w:r>
              <w:rPr>
                <w:rFonts w:hint="eastAsia"/>
                <w:sz w:val="19"/>
              </w:rPr>
              <w:t>西堡村</w:t>
            </w:r>
          </w:p>
        </w:tc>
        <w:tc>
          <w:tcPr>
            <w:tcW w:w="4505" w:type="dxa"/>
            <w:shd w:val="clear" w:color="auto" w:fill="auto"/>
            <w:noWrap/>
            <w:vAlign w:val="center"/>
          </w:tcPr>
          <w:p>
            <w:pPr>
              <w:spacing w:line="240" w:lineRule="auto"/>
              <w:jc w:val="center"/>
              <w:rPr>
                <w:rFonts w:hint="eastAsia"/>
                <w:sz w:val="19"/>
              </w:rPr>
            </w:pPr>
            <w:r>
              <w:rPr>
                <w:rFonts w:hint="eastAsia"/>
                <w:sz w:val="19"/>
              </w:rPr>
              <w:t>西堡村村部</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125.1180285</w:t>
            </w:r>
          </w:p>
        </w:tc>
        <w:tc>
          <w:tcPr>
            <w:tcW w:w="752" w:type="dxa"/>
            <w:shd w:val="clear" w:color="auto" w:fill="auto"/>
            <w:noWrap/>
            <w:vAlign w:val="center"/>
          </w:tcPr>
          <w:p>
            <w:pPr>
              <w:spacing w:line="240" w:lineRule="auto"/>
              <w:jc w:val="center"/>
              <w:rPr>
                <w:rFonts w:hint="eastAsia"/>
                <w:sz w:val="19"/>
              </w:rPr>
            </w:pPr>
            <w:r>
              <w:rPr>
                <w:rFonts w:hint="eastAsia"/>
                <w:sz w:val="19"/>
              </w:rPr>
              <w:t>41.16320031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61</w:t>
            </w:r>
          </w:p>
        </w:tc>
        <w:tc>
          <w:tcPr>
            <w:tcW w:w="3575" w:type="dxa"/>
            <w:shd w:val="clear" w:color="auto" w:fill="auto"/>
            <w:noWrap/>
            <w:vAlign w:val="center"/>
          </w:tcPr>
          <w:p>
            <w:pPr>
              <w:spacing w:line="240" w:lineRule="auto"/>
              <w:jc w:val="center"/>
              <w:rPr>
                <w:rFonts w:hint="eastAsia"/>
                <w:sz w:val="19"/>
              </w:rPr>
            </w:pPr>
            <w:r>
              <w:rPr>
                <w:rFonts w:hint="eastAsia"/>
                <w:sz w:val="19"/>
              </w:rPr>
              <w:t>果松川村</w:t>
            </w:r>
          </w:p>
        </w:tc>
        <w:tc>
          <w:tcPr>
            <w:tcW w:w="4505" w:type="dxa"/>
            <w:shd w:val="clear" w:color="auto" w:fill="auto"/>
            <w:noWrap/>
            <w:vAlign w:val="center"/>
          </w:tcPr>
          <w:p>
            <w:pPr>
              <w:spacing w:line="240" w:lineRule="auto"/>
              <w:jc w:val="center"/>
              <w:rPr>
                <w:rFonts w:hint="eastAsia"/>
                <w:sz w:val="19"/>
              </w:rPr>
            </w:pPr>
            <w:r>
              <w:rPr>
                <w:rFonts w:hint="eastAsia"/>
                <w:sz w:val="19"/>
              </w:rPr>
              <w:t>果松川村村部</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125.0075213</w:t>
            </w:r>
          </w:p>
        </w:tc>
        <w:tc>
          <w:tcPr>
            <w:tcW w:w="752" w:type="dxa"/>
            <w:shd w:val="clear" w:color="auto" w:fill="auto"/>
            <w:noWrap/>
            <w:vAlign w:val="center"/>
          </w:tcPr>
          <w:p>
            <w:pPr>
              <w:spacing w:line="240" w:lineRule="auto"/>
              <w:jc w:val="center"/>
              <w:rPr>
                <w:rFonts w:hint="eastAsia"/>
                <w:sz w:val="19"/>
              </w:rPr>
            </w:pPr>
            <w:r>
              <w:rPr>
                <w:rFonts w:hint="eastAsia"/>
                <w:sz w:val="19"/>
              </w:rPr>
              <w:t>41.27930223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62</w:t>
            </w:r>
          </w:p>
        </w:tc>
        <w:tc>
          <w:tcPr>
            <w:tcW w:w="3575" w:type="dxa"/>
            <w:shd w:val="clear" w:color="auto" w:fill="auto"/>
            <w:noWrap/>
            <w:vAlign w:val="center"/>
          </w:tcPr>
          <w:p>
            <w:pPr>
              <w:spacing w:line="240" w:lineRule="auto"/>
              <w:jc w:val="center"/>
              <w:rPr>
                <w:rFonts w:hint="eastAsia"/>
                <w:sz w:val="19"/>
              </w:rPr>
            </w:pPr>
            <w:r>
              <w:rPr>
                <w:rFonts w:hint="eastAsia"/>
                <w:sz w:val="19"/>
              </w:rPr>
              <w:t>大恩堡村</w:t>
            </w:r>
          </w:p>
        </w:tc>
        <w:tc>
          <w:tcPr>
            <w:tcW w:w="4505" w:type="dxa"/>
            <w:shd w:val="clear" w:color="auto" w:fill="auto"/>
            <w:noWrap/>
            <w:vAlign w:val="center"/>
          </w:tcPr>
          <w:p>
            <w:pPr>
              <w:spacing w:line="240" w:lineRule="auto"/>
              <w:jc w:val="center"/>
              <w:rPr>
                <w:rFonts w:hint="eastAsia"/>
                <w:sz w:val="19"/>
              </w:rPr>
            </w:pPr>
            <w:r>
              <w:rPr>
                <w:rFonts w:hint="eastAsia"/>
                <w:sz w:val="19"/>
              </w:rPr>
              <w:t>大恩堡村村部</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125.0597322</w:t>
            </w:r>
          </w:p>
        </w:tc>
        <w:tc>
          <w:tcPr>
            <w:tcW w:w="752" w:type="dxa"/>
            <w:shd w:val="clear" w:color="auto" w:fill="auto"/>
            <w:noWrap/>
            <w:vAlign w:val="center"/>
          </w:tcPr>
          <w:p>
            <w:pPr>
              <w:spacing w:line="240" w:lineRule="auto"/>
              <w:jc w:val="center"/>
              <w:rPr>
                <w:rFonts w:hint="eastAsia"/>
                <w:sz w:val="19"/>
              </w:rPr>
            </w:pPr>
            <w:r>
              <w:rPr>
                <w:rFonts w:hint="eastAsia"/>
                <w:sz w:val="19"/>
              </w:rPr>
              <w:t>41.30225269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63</w:t>
            </w:r>
          </w:p>
        </w:tc>
        <w:tc>
          <w:tcPr>
            <w:tcW w:w="3575" w:type="dxa"/>
            <w:shd w:val="clear" w:color="auto" w:fill="auto"/>
            <w:noWrap/>
            <w:vAlign w:val="center"/>
          </w:tcPr>
          <w:p>
            <w:pPr>
              <w:spacing w:line="240" w:lineRule="auto"/>
              <w:jc w:val="center"/>
              <w:rPr>
                <w:rFonts w:hint="eastAsia"/>
                <w:sz w:val="19"/>
              </w:rPr>
            </w:pPr>
            <w:r>
              <w:rPr>
                <w:rFonts w:hint="eastAsia"/>
                <w:sz w:val="19"/>
              </w:rPr>
              <w:t>冯家堡村</w:t>
            </w:r>
          </w:p>
        </w:tc>
        <w:tc>
          <w:tcPr>
            <w:tcW w:w="4505" w:type="dxa"/>
            <w:shd w:val="clear" w:color="auto" w:fill="auto"/>
            <w:noWrap/>
            <w:vAlign w:val="center"/>
          </w:tcPr>
          <w:p>
            <w:pPr>
              <w:spacing w:line="240" w:lineRule="auto"/>
              <w:jc w:val="center"/>
              <w:rPr>
                <w:rFonts w:hint="eastAsia"/>
                <w:sz w:val="19"/>
              </w:rPr>
            </w:pPr>
            <w:r>
              <w:rPr>
                <w:rFonts w:hint="eastAsia"/>
                <w:sz w:val="19"/>
              </w:rPr>
              <w:t>冯家堡村村部</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125.0660088</w:t>
            </w:r>
          </w:p>
        </w:tc>
        <w:tc>
          <w:tcPr>
            <w:tcW w:w="752" w:type="dxa"/>
            <w:shd w:val="clear" w:color="auto" w:fill="auto"/>
            <w:noWrap/>
            <w:vAlign w:val="center"/>
          </w:tcPr>
          <w:p>
            <w:pPr>
              <w:spacing w:line="240" w:lineRule="auto"/>
              <w:jc w:val="center"/>
              <w:rPr>
                <w:rFonts w:hint="eastAsia"/>
                <w:sz w:val="19"/>
              </w:rPr>
            </w:pPr>
            <w:r>
              <w:rPr>
                <w:rFonts w:hint="eastAsia"/>
                <w:sz w:val="19"/>
              </w:rPr>
              <w:t>41.33727125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64</w:t>
            </w:r>
          </w:p>
        </w:tc>
        <w:tc>
          <w:tcPr>
            <w:tcW w:w="3575" w:type="dxa"/>
            <w:shd w:val="clear" w:color="auto" w:fill="auto"/>
            <w:noWrap/>
            <w:vAlign w:val="center"/>
          </w:tcPr>
          <w:p>
            <w:pPr>
              <w:spacing w:line="240" w:lineRule="auto"/>
              <w:jc w:val="center"/>
              <w:rPr>
                <w:rFonts w:hint="eastAsia"/>
                <w:sz w:val="19"/>
              </w:rPr>
            </w:pPr>
            <w:r>
              <w:rPr>
                <w:rFonts w:hint="eastAsia"/>
                <w:sz w:val="19"/>
              </w:rPr>
              <w:t>柳林子村</w:t>
            </w:r>
          </w:p>
        </w:tc>
        <w:tc>
          <w:tcPr>
            <w:tcW w:w="4505" w:type="dxa"/>
            <w:shd w:val="clear" w:color="auto" w:fill="auto"/>
            <w:noWrap/>
            <w:vAlign w:val="center"/>
          </w:tcPr>
          <w:p>
            <w:pPr>
              <w:spacing w:line="240" w:lineRule="auto"/>
              <w:jc w:val="center"/>
              <w:rPr>
                <w:rFonts w:hint="eastAsia"/>
                <w:sz w:val="19"/>
              </w:rPr>
            </w:pPr>
            <w:r>
              <w:rPr>
                <w:rFonts w:hint="eastAsia"/>
                <w:sz w:val="19"/>
              </w:rPr>
              <w:t>柳林子村村部</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125.0937574</w:t>
            </w:r>
          </w:p>
        </w:tc>
        <w:tc>
          <w:tcPr>
            <w:tcW w:w="752" w:type="dxa"/>
            <w:shd w:val="clear" w:color="auto" w:fill="auto"/>
            <w:noWrap/>
            <w:vAlign w:val="center"/>
          </w:tcPr>
          <w:p>
            <w:pPr>
              <w:spacing w:line="240" w:lineRule="auto"/>
              <w:jc w:val="center"/>
              <w:rPr>
                <w:rFonts w:hint="eastAsia"/>
                <w:sz w:val="19"/>
              </w:rPr>
            </w:pPr>
            <w:r>
              <w:rPr>
                <w:rFonts w:hint="eastAsia"/>
                <w:sz w:val="19"/>
              </w:rPr>
              <w:t>41.34208623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65</w:t>
            </w:r>
          </w:p>
        </w:tc>
        <w:tc>
          <w:tcPr>
            <w:tcW w:w="3575" w:type="dxa"/>
            <w:shd w:val="clear" w:color="auto" w:fill="auto"/>
            <w:noWrap/>
            <w:vAlign w:val="center"/>
          </w:tcPr>
          <w:p>
            <w:pPr>
              <w:spacing w:line="240" w:lineRule="auto"/>
              <w:jc w:val="center"/>
              <w:rPr>
                <w:rFonts w:hint="eastAsia"/>
                <w:sz w:val="19"/>
              </w:rPr>
            </w:pPr>
            <w:r>
              <w:rPr>
                <w:rFonts w:hint="eastAsia"/>
                <w:sz w:val="19"/>
              </w:rPr>
              <w:t>拉古甲村</w:t>
            </w:r>
          </w:p>
        </w:tc>
        <w:tc>
          <w:tcPr>
            <w:tcW w:w="4505" w:type="dxa"/>
            <w:shd w:val="clear" w:color="auto" w:fill="auto"/>
            <w:noWrap/>
            <w:vAlign w:val="center"/>
          </w:tcPr>
          <w:p>
            <w:pPr>
              <w:spacing w:line="240" w:lineRule="auto"/>
              <w:jc w:val="center"/>
              <w:rPr>
                <w:rFonts w:hint="eastAsia"/>
                <w:sz w:val="19"/>
              </w:rPr>
            </w:pPr>
            <w:r>
              <w:rPr>
                <w:rFonts w:hint="eastAsia"/>
                <w:sz w:val="19"/>
              </w:rPr>
              <w:t>拉古甲村村部</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125.1407644</w:t>
            </w:r>
          </w:p>
        </w:tc>
        <w:tc>
          <w:tcPr>
            <w:tcW w:w="752" w:type="dxa"/>
            <w:shd w:val="clear" w:color="auto" w:fill="auto"/>
            <w:noWrap/>
            <w:vAlign w:val="center"/>
          </w:tcPr>
          <w:p>
            <w:pPr>
              <w:spacing w:line="240" w:lineRule="auto"/>
              <w:jc w:val="center"/>
              <w:rPr>
                <w:rFonts w:hint="eastAsia"/>
                <w:sz w:val="19"/>
              </w:rPr>
            </w:pPr>
            <w:r>
              <w:rPr>
                <w:rFonts w:hint="eastAsia"/>
                <w:sz w:val="19"/>
              </w:rPr>
              <w:t>41.37960404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66</w:t>
            </w:r>
          </w:p>
        </w:tc>
        <w:tc>
          <w:tcPr>
            <w:tcW w:w="3575" w:type="dxa"/>
            <w:shd w:val="clear" w:color="auto" w:fill="auto"/>
            <w:noWrap/>
            <w:vAlign w:val="center"/>
          </w:tcPr>
          <w:p>
            <w:pPr>
              <w:spacing w:line="240" w:lineRule="auto"/>
              <w:jc w:val="center"/>
              <w:rPr>
                <w:rFonts w:hint="eastAsia"/>
                <w:sz w:val="19"/>
              </w:rPr>
            </w:pPr>
            <w:r>
              <w:rPr>
                <w:rFonts w:hint="eastAsia"/>
                <w:sz w:val="19"/>
              </w:rPr>
              <w:t>光复村</w:t>
            </w:r>
          </w:p>
        </w:tc>
        <w:tc>
          <w:tcPr>
            <w:tcW w:w="4505" w:type="dxa"/>
            <w:shd w:val="clear" w:color="auto" w:fill="auto"/>
            <w:noWrap/>
            <w:vAlign w:val="center"/>
          </w:tcPr>
          <w:p>
            <w:pPr>
              <w:spacing w:line="240" w:lineRule="auto"/>
              <w:jc w:val="center"/>
              <w:rPr>
                <w:rFonts w:hint="eastAsia"/>
                <w:sz w:val="19"/>
              </w:rPr>
            </w:pPr>
            <w:r>
              <w:rPr>
                <w:rFonts w:hint="eastAsia"/>
                <w:sz w:val="19"/>
              </w:rPr>
              <w:t>光复村村部</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125.1132414</w:t>
            </w:r>
          </w:p>
        </w:tc>
        <w:tc>
          <w:tcPr>
            <w:tcW w:w="752" w:type="dxa"/>
            <w:shd w:val="clear" w:color="auto" w:fill="auto"/>
            <w:noWrap/>
            <w:vAlign w:val="center"/>
          </w:tcPr>
          <w:p>
            <w:pPr>
              <w:spacing w:line="240" w:lineRule="auto"/>
              <w:jc w:val="center"/>
              <w:rPr>
                <w:rFonts w:hint="eastAsia"/>
                <w:sz w:val="19"/>
              </w:rPr>
            </w:pPr>
            <w:r>
              <w:rPr>
                <w:rFonts w:hint="eastAsia"/>
                <w:sz w:val="19"/>
              </w:rPr>
              <w:t>41.37431405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67</w:t>
            </w:r>
          </w:p>
        </w:tc>
        <w:tc>
          <w:tcPr>
            <w:tcW w:w="3575" w:type="dxa"/>
            <w:shd w:val="clear" w:color="auto" w:fill="auto"/>
            <w:noWrap/>
            <w:vAlign w:val="center"/>
          </w:tcPr>
          <w:p>
            <w:pPr>
              <w:spacing w:line="240" w:lineRule="auto"/>
              <w:jc w:val="center"/>
              <w:rPr>
                <w:rFonts w:hint="eastAsia"/>
                <w:sz w:val="19"/>
              </w:rPr>
            </w:pPr>
            <w:r>
              <w:rPr>
                <w:rFonts w:hint="eastAsia"/>
                <w:sz w:val="19"/>
              </w:rPr>
              <w:t>二户来村</w:t>
            </w:r>
          </w:p>
        </w:tc>
        <w:tc>
          <w:tcPr>
            <w:tcW w:w="4505" w:type="dxa"/>
            <w:shd w:val="clear" w:color="auto" w:fill="auto"/>
            <w:noWrap/>
            <w:vAlign w:val="center"/>
          </w:tcPr>
          <w:p>
            <w:pPr>
              <w:spacing w:line="240" w:lineRule="auto"/>
              <w:jc w:val="center"/>
              <w:rPr>
                <w:rFonts w:hint="eastAsia"/>
                <w:sz w:val="19"/>
              </w:rPr>
            </w:pPr>
            <w:r>
              <w:rPr>
                <w:rFonts w:hint="eastAsia"/>
                <w:sz w:val="19"/>
              </w:rPr>
              <w:t>二户来村村部</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125.105441</w:t>
            </w:r>
          </w:p>
        </w:tc>
        <w:tc>
          <w:tcPr>
            <w:tcW w:w="752" w:type="dxa"/>
            <w:shd w:val="clear" w:color="auto" w:fill="auto"/>
            <w:noWrap/>
            <w:vAlign w:val="center"/>
          </w:tcPr>
          <w:p>
            <w:pPr>
              <w:spacing w:line="240" w:lineRule="auto"/>
              <w:jc w:val="center"/>
              <w:rPr>
                <w:rFonts w:hint="eastAsia"/>
                <w:sz w:val="19"/>
              </w:rPr>
            </w:pPr>
            <w:r>
              <w:rPr>
                <w:rFonts w:hint="eastAsia"/>
                <w:sz w:val="19"/>
              </w:rPr>
              <w:t>41.37690699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68</w:t>
            </w:r>
          </w:p>
        </w:tc>
        <w:tc>
          <w:tcPr>
            <w:tcW w:w="3575" w:type="dxa"/>
            <w:shd w:val="clear" w:color="auto" w:fill="auto"/>
            <w:noWrap/>
            <w:vAlign w:val="center"/>
          </w:tcPr>
          <w:p>
            <w:pPr>
              <w:spacing w:line="240" w:lineRule="auto"/>
              <w:jc w:val="center"/>
              <w:rPr>
                <w:rFonts w:hint="eastAsia"/>
                <w:sz w:val="19"/>
              </w:rPr>
            </w:pPr>
            <w:r>
              <w:rPr>
                <w:rFonts w:hint="eastAsia"/>
                <w:sz w:val="19"/>
              </w:rPr>
              <w:t>华来镇林业站</w:t>
            </w:r>
          </w:p>
        </w:tc>
        <w:tc>
          <w:tcPr>
            <w:tcW w:w="4505" w:type="dxa"/>
            <w:shd w:val="clear" w:color="auto" w:fill="auto"/>
            <w:noWrap/>
            <w:vAlign w:val="center"/>
          </w:tcPr>
          <w:p>
            <w:pPr>
              <w:spacing w:line="240" w:lineRule="auto"/>
              <w:jc w:val="center"/>
              <w:rPr>
                <w:rFonts w:hint="eastAsia"/>
                <w:sz w:val="19"/>
              </w:rPr>
            </w:pPr>
            <w:r>
              <w:rPr>
                <w:rFonts w:hint="eastAsia"/>
                <w:sz w:val="19"/>
              </w:rPr>
              <w:t>华来镇林业站</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124.9502988</w:t>
            </w:r>
          </w:p>
        </w:tc>
        <w:tc>
          <w:tcPr>
            <w:tcW w:w="752" w:type="dxa"/>
            <w:shd w:val="clear" w:color="auto" w:fill="auto"/>
            <w:noWrap/>
            <w:vAlign w:val="center"/>
          </w:tcPr>
          <w:p>
            <w:pPr>
              <w:spacing w:line="240" w:lineRule="auto"/>
              <w:jc w:val="center"/>
              <w:rPr>
                <w:rFonts w:hint="eastAsia"/>
                <w:sz w:val="19"/>
              </w:rPr>
            </w:pPr>
            <w:r>
              <w:rPr>
                <w:rFonts w:hint="eastAsia"/>
                <w:sz w:val="19"/>
              </w:rPr>
              <w:t>41.3797623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69</w:t>
            </w:r>
          </w:p>
        </w:tc>
        <w:tc>
          <w:tcPr>
            <w:tcW w:w="3575" w:type="dxa"/>
            <w:shd w:val="clear" w:color="auto" w:fill="auto"/>
            <w:noWrap/>
            <w:vAlign w:val="center"/>
          </w:tcPr>
          <w:p>
            <w:pPr>
              <w:spacing w:line="240" w:lineRule="auto"/>
              <w:jc w:val="center"/>
              <w:rPr>
                <w:rFonts w:hint="eastAsia"/>
                <w:sz w:val="19"/>
              </w:rPr>
            </w:pPr>
            <w:r>
              <w:rPr>
                <w:rFonts w:hint="eastAsia"/>
                <w:sz w:val="19"/>
              </w:rPr>
              <w:t>华来镇派出所</w:t>
            </w:r>
          </w:p>
        </w:tc>
        <w:tc>
          <w:tcPr>
            <w:tcW w:w="4505" w:type="dxa"/>
            <w:shd w:val="clear" w:color="auto" w:fill="auto"/>
            <w:noWrap/>
            <w:vAlign w:val="center"/>
          </w:tcPr>
          <w:p>
            <w:pPr>
              <w:spacing w:line="240" w:lineRule="auto"/>
              <w:jc w:val="center"/>
              <w:rPr>
                <w:rFonts w:hint="eastAsia"/>
                <w:sz w:val="19"/>
              </w:rPr>
            </w:pPr>
            <w:r>
              <w:rPr>
                <w:rFonts w:hint="eastAsia"/>
                <w:sz w:val="19"/>
              </w:rPr>
              <w:t>华来镇派出所</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125.107667</w:t>
            </w:r>
          </w:p>
        </w:tc>
        <w:tc>
          <w:tcPr>
            <w:tcW w:w="752" w:type="dxa"/>
            <w:shd w:val="clear" w:color="auto" w:fill="auto"/>
            <w:noWrap/>
            <w:vAlign w:val="center"/>
          </w:tcPr>
          <w:p>
            <w:pPr>
              <w:spacing w:line="240" w:lineRule="auto"/>
              <w:jc w:val="center"/>
              <w:rPr>
                <w:rFonts w:hint="eastAsia"/>
                <w:sz w:val="19"/>
              </w:rPr>
            </w:pPr>
            <w:r>
              <w:rPr>
                <w:rFonts w:hint="eastAsia"/>
                <w:sz w:val="19"/>
              </w:rPr>
              <w:t>41.37161282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70</w:t>
            </w:r>
          </w:p>
        </w:tc>
        <w:tc>
          <w:tcPr>
            <w:tcW w:w="3575" w:type="dxa"/>
            <w:shd w:val="clear" w:color="auto" w:fill="auto"/>
            <w:noWrap/>
            <w:vAlign w:val="center"/>
          </w:tcPr>
          <w:p>
            <w:pPr>
              <w:spacing w:line="240" w:lineRule="auto"/>
              <w:jc w:val="center"/>
              <w:rPr>
                <w:rFonts w:hint="eastAsia"/>
                <w:sz w:val="19"/>
              </w:rPr>
            </w:pPr>
            <w:r>
              <w:rPr>
                <w:rFonts w:hint="eastAsia"/>
                <w:sz w:val="19"/>
              </w:rPr>
              <w:t>碑登村</w:t>
            </w:r>
          </w:p>
        </w:tc>
        <w:tc>
          <w:tcPr>
            <w:tcW w:w="4505" w:type="dxa"/>
            <w:shd w:val="clear" w:color="auto" w:fill="auto"/>
            <w:noWrap/>
            <w:vAlign w:val="center"/>
          </w:tcPr>
          <w:p>
            <w:pPr>
              <w:spacing w:line="240" w:lineRule="auto"/>
              <w:jc w:val="center"/>
              <w:rPr>
                <w:rFonts w:hint="eastAsia"/>
                <w:sz w:val="19"/>
              </w:rPr>
            </w:pPr>
            <w:r>
              <w:rPr>
                <w:rFonts w:hint="eastAsia"/>
                <w:sz w:val="19"/>
              </w:rPr>
              <w:t>碑登村村部</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125.1031347</w:t>
            </w:r>
          </w:p>
        </w:tc>
        <w:tc>
          <w:tcPr>
            <w:tcW w:w="752" w:type="dxa"/>
            <w:shd w:val="clear" w:color="auto" w:fill="auto"/>
            <w:noWrap/>
            <w:vAlign w:val="center"/>
          </w:tcPr>
          <w:p>
            <w:pPr>
              <w:spacing w:line="240" w:lineRule="auto"/>
              <w:jc w:val="center"/>
              <w:rPr>
                <w:rFonts w:hint="eastAsia"/>
                <w:sz w:val="19"/>
              </w:rPr>
            </w:pPr>
            <w:r>
              <w:rPr>
                <w:rFonts w:hint="eastAsia"/>
                <w:sz w:val="19"/>
              </w:rPr>
              <w:t>41.41420086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71</w:t>
            </w:r>
          </w:p>
        </w:tc>
        <w:tc>
          <w:tcPr>
            <w:tcW w:w="3575" w:type="dxa"/>
            <w:shd w:val="clear" w:color="auto" w:fill="auto"/>
            <w:noWrap/>
            <w:vAlign w:val="center"/>
          </w:tcPr>
          <w:p>
            <w:pPr>
              <w:spacing w:line="240" w:lineRule="auto"/>
              <w:jc w:val="center"/>
              <w:rPr>
                <w:rFonts w:hint="eastAsia"/>
                <w:sz w:val="19"/>
              </w:rPr>
            </w:pPr>
            <w:r>
              <w:rPr>
                <w:rFonts w:hint="eastAsia"/>
                <w:sz w:val="19"/>
              </w:rPr>
              <w:t>文治沟村</w:t>
            </w:r>
          </w:p>
        </w:tc>
        <w:tc>
          <w:tcPr>
            <w:tcW w:w="4505" w:type="dxa"/>
            <w:shd w:val="clear" w:color="auto" w:fill="auto"/>
            <w:noWrap/>
            <w:vAlign w:val="center"/>
          </w:tcPr>
          <w:p>
            <w:pPr>
              <w:spacing w:line="240" w:lineRule="auto"/>
              <w:jc w:val="center"/>
              <w:rPr>
                <w:rFonts w:hint="eastAsia"/>
                <w:sz w:val="19"/>
              </w:rPr>
            </w:pPr>
            <w:r>
              <w:rPr>
                <w:rFonts w:hint="eastAsia"/>
                <w:sz w:val="19"/>
              </w:rPr>
              <w:t>文治沟村村部</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125.1155468</w:t>
            </w:r>
          </w:p>
        </w:tc>
        <w:tc>
          <w:tcPr>
            <w:tcW w:w="752" w:type="dxa"/>
            <w:shd w:val="clear" w:color="auto" w:fill="auto"/>
            <w:noWrap/>
            <w:vAlign w:val="center"/>
          </w:tcPr>
          <w:p>
            <w:pPr>
              <w:spacing w:line="240" w:lineRule="auto"/>
              <w:jc w:val="center"/>
              <w:rPr>
                <w:rFonts w:hint="eastAsia"/>
                <w:sz w:val="19"/>
              </w:rPr>
            </w:pPr>
            <w:r>
              <w:rPr>
                <w:rFonts w:hint="eastAsia"/>
                <w:sz w:val="19"/>
              </w:rPr>
              <w:t>41.48463478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72</w:t>
            </w:r>
          </w:p>
        </w:tc>
        <w:tc>
          <w:tcPr>
            <w:tcW w:w="3575" w:type="dxa"/>
            <w:shd w:val="clear" w:color="auto" w:fill="auto"/>
            <w:noWrap/>
            <w:vAlign w:val="center"/>
          </w:tcPr>
          <w:p>
            <w:pPr>
              <w:spacing w:line="240" w:lineRule="auto"/>
              <w:jc w:val="center"/>
              <w:rPr>
                <w:rFonts w:hint="eastAsia"/>
                <w:sz w:val="19"/>
              </w:rPr>
            </w:pPr>
            <w:r>
              <w:rPr>
                <w:rFonts w:hint="eastAsia"/>
                <w:sz w:val="19"/>
              </w:rPr>
              <w:t>川里村</w:t>
            </w:r>
          </w:p>
        </w:tc>
        <w:tc>
          <w:tcPr>
            <w:tcW w:w="4505" w:type="dxa"/>
            <w:shd w:val="clear" w:color="auto" w:fill="auto"/>
            <w:noWrap/>
            <w:vAlign w:val="center"/>
          </w:tcPr>
          <w:p>
            <w:pPr>
              <w:spacing w:line="240" w:lineRule="auto"/>
              <w:jc w:val="center"/>
              <w:rPr>
                <w:rFonts w:hint="eastAsia"/>
                <w:sz w:val="19"/>
              </w:rPr>
            </w:pPr>
            <w:r>
              <w:rPr>
                <w:rFonts w:hint="eastAsia"/>
                <w:sz w:val="19"/>
              </w:rPr>
              <w:t>川里村村部</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124.9467091</w:t>
            </w:r>
          </w:p>
        </w:tc>
        <w:tc>
          <w:tcPr>
            <w:tcW w:w="752" w:type="dxa"/>
            <w:shd w:val="clear" w:color="auto" w:fill="auto"/>
            <w:noWrap/>
            <w:vAlign w:val="center"/>
          </w:tcPr>
          <w:p>
            <w:pPr>
              <w:spacing w:line="240" w:lineRule="auto"/>
              <w:jc w:val="center"/>
              <w:rPr>
                <w:rFonts w:hint="eastAsia"/>
                <w:sz w:val="19"/>
              </w:rPr>
            </w:pPr>
            <w:r>
              <w:rPr>
                <w:rFonts w:hint="eastAsia"/>
                <w:sz w:val="19"/>
              </w:rPr>
              <w:t>41.43704894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73</w:t>
            </w:r>
          </w:p>
        </w:tc>
        <w:tc>
          <w:tcPr>
            <w:tcW w:w="3575" w:type="dxa"/>
            <w:shd w:val="clear" w:color="auto" w:fill="auto"/>
            <w:noWrap/>
            <w:vAlign w:val="center"/>
          </w:tcPr>
          <w:p>
            <w:pPr>
              <w:spacing w:line="240" w:lineRule="auto"/>
              <w:jc w:val="center"/>
              <w:rPr>
                <w:rFonts w:hint="eastAsia"/>
                <w:sz w:val="19"/>
              </w:rPr>
            </w:pPr>
            <w:r>
              <w:rPr>
                <w:rFonts w:hint="eastAsia"/>
                <w:sz w:val="19"/>
              </w:rPr>
              <w:t>瓦尔喀什寨村</w:t>
            </w:r>
          </w:p>
        </w:tc>
        <w:tc>
          <w:tcPr>
            <w:tcW w:w="4505" w:type="dxa"/>
            <w:shd w:val="clear" w:color="auto" w:fill="auto"/>
            <w:noWrap/>
            <w:vAlign w:val="center"/>
          </w:tcPr>
          <w:p>
            <w:pPr>
              <w:spacing w:line="240" w:lineRule="auto"/>
              <w:jc w:val="center"/>
              <w:rPr>
                <w:rFonts w:hint="eastAsia"/>
                <w:sz w:val="19"/>
              </w:rPr>
            </w:pPr>
            <w:r>
              <w:rPr>
                <w:rFonts w:hint="eastAsia"/>
                <w:sz w:val="19"/>
              </w:rPr>
              <w:t>瓦尔喀什寨村村部</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125.0408905</w:t>
            </w:r>
          </w:p>
        </w:tc>
        <w:tc>
          <w:tcPr>
            <w:tcW w:w="752" w:type="dxa"/>
            <w:shd w:val="clear" w:color="auto" w:fill="auto"/>
            <w:noWrap/>
            <w:vAlign w:val="center"/>
          </w:tcPr>
          <w:p>
            <w:pPr>
              <w:spacing w:line="240" w:lineRule="auto"/>
              <w:jc w:val="center"/>
              <w:rPr>
                <w:rFonts w:hint="eastAsia"/>
                <w:sz w:val="19"/>
              </w:rPr>
            </w:pPr>
            <w:r>
              <w:rPr>
                <w:rFonts w:hint="eastAsia"/>
                <w:sz w:val="19"/>
              </w:rPr>
              <w:t>41.44515081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74</w:t>
            </w:r>
          </w:p>
        </w:tc>
        <w:tc>
          <w:tcPr>
            <w:tcW w:w="3575" w:type="dxa"/>
            <w:shd w:val="clear" w:color="auto" w:fill="auto"/>
            <w:noWrap/>
            <w:vAlign w:val="center"/>
          </w:tcPr>
          <w:p>
            <w:pPr>
              <w:spacing w:line="240" w:lineRule="auto"/>
              <w:jc w:val="center"/>
              <w:rPr>
                <w:rFonts w:hint="eastAsia"/>
                <w:sz w:val="19"/>
              </w:rPr>
            </w:pPr>
            <w:r>
              <w:rPr>
                <w:rFonts w:hint="eastAsia"/>
                <w:sz w:val="19"/>
              </w:rPr>
              <w:t>六道沟村</w:t>
            </w:r>
          </w:p>
        </w:tc>
        <w:tc>
          <w:tcPr>
            <w:tcW w:w="4505" w:type="dxa"/>
            <w:shd w:val="clear" w:color="auto" w:fill="auto"/>
            <w:noWrap/>
            <w:vAlign w:val="center"/>
          </w:tcPr>
          <w:p>
            <w:pPr>
              <w:spacing w:line="240" w:lineRule="auto"/>
              <w:jc w:val="center"/>
              <w:rPr>
                <w:rFonts w:hint="eastAsia"/>
                <w:sz w:val="19"/>
              </w:rPr>
            </w:pPr>
            <w:r>
              <w:rPr>
                <w:rFonts w:hint="eastAsia"/>
                <w:sz w:val="19"/>
              </w:rPr>
              <w:t>本溪市桓仁满族自治县黑沟乡</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2026</w:t>
            </w:r>
          </w:p>
        </w:tc>
        <w:tc>
          <w:tcPr>
            <w:tcW w:w="752" w:type="dxa"/>
            <w:shd w:val="clear" w:color="auto" w:fill="auto"/>
            <w:noWrap/>
            <w:vAlign w:val="center"/>
          </w:tcPr>
          <w:p>
            <w:pPr>
              <w:spacing w:line="240" w:lineRule="auto"/>
              <w:jc w:val="center"/>
              <w:rPr>
                <w:rFonts w:hint="eastAsia"/>
                <w:sz w:val="19"/>
              </w:rPr>
            </w:pPr>
            <w:r>
              <w:rPr>
                <w:rFonts w:hint="eastAsia"/>
                <w:sz w:val="19"/>
              </w:rPr>
              <w:t>125.3746637</w:t>
            </w:r>
          </w:p>
        </w:tc>
        <w:tc>
          <w:tcPr>
            <w:tcW w:w="752" w:type="dxa"/>
            <w:shd w:val="clear" w:color="auto" w:fill="auto"/>
            <w:noWrap/>
            <w:vAlign w:val="center"/>
          </w:tcPr>
          <w:p>
            <w:pPr>
              <w:spacing w:line="240" w:lineRule="auto"/>
              <w:jc w:val="center"/>
              <w:rPr>
                <w:rFonts w:hint="eastAsia"/>
                <w:sz w:val="19"/>
              </w:rPr>
            </w:pPr>
            <w:r>
              <w:rPr>
                <w:rFonts w:hint="eastAsia"/>
                <w:sz w:val="19"/>
              </w:rPr>
              <w:t>41.35393929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75</w:t>
            </w:r>
          </w:p>
        </w:tc>
        <w:tc>
          <w:tcPr>
            <w:tcW w:w="3575" w:type="dxa"/>
            <w:shd w:val="clear" w:color="auto" w:fill="auto"/>
            <w:noWrap/>
            <w:vAlign w:val="center"/>
          </w:tcPr>
          <w:p>
            <w:pPr>
              <w:spacing w:line="240" w:lineRule="auto"/>
              <w:jc w:val="center"/>
              <w:rPr>
                <w:rFonts w:hint="eastAsia"/>
                <w:sz w:val="19"/>
              </w:rPr>
            </w:pPr>
            <w:r>
              <w:rPr>
                <w:rFonts w:hint="eastAsia"/>
                <w:sz w:val="19"/>
              </w:rPr>
              <w:t>石虎子村党建综合服务中心院内</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桓仁满族自治县二长线</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125.3188215</w:t>
            </w:r>
          </w:p>
        </w:tc>
        <w:tc>
          <w:tcPr>
            <w:tcW w:w="752" w:type="dxa"/>
            <w:shd w:val="clear" w:color="auto" w:fill="auto"/>
            <w:noWrap/>
            <w:vAlign w:val="center"/>
          </w:tcPr>
          <w:p>
            <w:pPr>
              <w:spacing w:line="240" w:lineRule="auto"/>
              <w:jc w:val="center"/>
              <w:rPr>
                <w:rFonts w:hint="eastAsia"/>
                <w:sz w:val="19"/>
              </w:rPr>
            </w:pPr>
            <w:r>
              <w:rPr>
                <w:rFonts w:hint="eastAsia"/>
                <w:sz w:val="19"/>
              </w:rPr>
              <w:t>41.39167257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76</w:t>
            </w:r>
          </w:p>
        </w:tc>
        <w:tc>
          <w:tcPr>
            <w:tcW w:w="3575" w:type="dxa"/>
            <w:shd w:val="clear" w:color="auto" w:fill="auto"/>
            <w:noWrap/>
            <w:vAlign w:val="center"/>
          </w:tcPr>
          <w:p>
            <w:pPr>
              <w:spacing w:line="240" w:lineRule="auto"/>
              <w:jc w:val="center"/>
              <w:rPr>
                <w:rFonts w:hint="eastAsia"/>
                <w:sz w:val="19"/>
              </w:rPr>
            </w:pPr>
            <w:r>
              <w:rPr>
                <w:rFonts w:hint="eastAsia"/>
                <w:sz w:val="19"/>
              </w:rPr>
              <w:t>四平村</w:t>
            </w:r>
          </w:p>
        </w:tc>
        <w:tc>
          <w:tcPr>
            <w:tcW w:w="4505" w:type="dxa"/>
            <w:shd w:val="clear" w:color="auto" w:fill="auto"/>
            <w:noWrap/>
            <w:vAlign w:val="center"/>
          </w:tcPr>
          <w:p>
            <w:pPr>
              <w:spacing w:line="240" w:lineRule="auto"/>
              <w:jc w:val="center"/>
              <w:rPr>
                <w:rFonts w:hint="eastAsia"/>
                <w:sz w:val="19"/>
              </w:rPr>
            </w:pPr>
            <w:r>
              <w:rPr>
                <w:rFonts w:hint="eastAsia"/>
                <w:sz w:val="19"/>
              </w:rPr>
              <w:t>村委会</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125.6879864</w:t>
            </w:r>
          </w:p>
        </w:tc>
        <w:tc>
          <w:tcPr>
            <w:tcW w:w="752" w:type="dxa"/>
            <w:shd w:val="clear" w:color="auto" w:fill="auto"/>
            <w:noWrap/>
            <w:vAlign w:val="center"/>
          </w:tcPr>
          <w:p>
            <w:pPr>
              <w:spacing w:line="240" w:lineRule="auto"/>
              <w:jc w:val="center"/>
              <w:rPr>
                <w:rFonts w:hint="eastAsia"/>
                <w:sz w:val="19"/>
              </w:rPr>
            </w:pPr>
            <w:r>
              <w:rPr>
                <w:rFonts w:hint="eastAsia"/>
                <w:sz w:val="19"/>
              </w:rPr>
              <w:t>41.21594449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77</w:t>
            </w:r>
          </w:p>
        </w:tc>
        <w:tc>
          <w:tcPr>
            <w:tcW w:w="3575" w:type="dxa"/>
            <w:shd w:val="clear" w:color="auto" w:fill="auto"/>
            <w:noWrap/>
            <w:vAlign w:val="center"/>
          </w:tcPr>
          <w:p>
            <w:pPr>
              <w:spacing w:line="240" w:lineRule="auto"/>
              <w:jc w:val="center"/>
              <w:rPr>
                <w:rFonts w:hint="eastAsia"/>
                <w:sz w:val="19"/>
              </w:rPr>
            </w:pPr>
            <w:r>
              <w:rPr>
                <w:rFonts w:hint="eastAsia"/>
                <w:sz w:val="19"/>
              </w:rPr>
              <w:t>巨户沟</w:t>
            </w:r>
          </w:p>
        </w:tc>
        <w:tc>
          <w:tcPr>
            <w:tcW w:w="4505" w:type="dxa"/>
            <w:shd w:val="clear" w:color="auto" w:fill="auto"/>
            <w:noWrap/>
            <w:vAlign w:val="center"/>
          </w:tcPr>
          <w:p>
            <w:pPr>
              <w:spacing w:line="240" w:lineRule="auto"/>
              <w:jc w:val="center"/>
              <w:rPr>
                <w:rFonts w:hint="eastAsia"/>
                <w:sz w:val="19"/>
              </w:rPr>
            </w:pPr>
            <w:r>
              <w:rPr>
                <w:rFonts w:hint="eastAsia"/>
                <w:sz w:val="19"/>
              </w:rPr>
              <w:t>巨户沟广场</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125.6053554</w:t>
            </w:r>
          </w:p>
        </w:tc>
        <w:tc>
          <w:tcPr>
            <w:tcW w:w="752" w:type="dxa"/>
            <w:shd w:val="clear" w:color="auto" w:fill="auto"/>
            <w:noWrap/>
            <w:vAlign w:val="center"/>
          </w:tcPr>
          <w:p>
            <w:pPr>
              <w:spacing w:line="240" w:lineRule="auto"/>
              <w:jc w:val="center"/>
              <w:rPr>
                <w:rFonts w:hint="eastAsia"/>
                <w:sz w:val="19"/>
              </w:rPr>
            </w:pPr>
            <w:r>
              <w:rPr>
                <w:rFonts w:hint="eastAsia"/>
                <w:sz w:val="19"/>
              </w:rPr>
              <w:t>41.20103732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78</w:t>
            </w:r>
          </w:p>
        </w:tc>
        <w:tc>
          <w:tcPr>
            <w:tcW w:w="3575" w:type="dxa"/>
            <w:shd w:val="clear" w:color="auto" w:fill="auto"/>
            <w:noWrap/>
            <w:vAlign w:val="center"/>
          </w:tcPr>
          <w:p>
            <w:pPr>
              <w:spacing w:line="240" w:lineRule="auto"/>
              <w:jc w:val="center"/>
              <w:rPr>
                <w:rFonts w:hint="eastAsia"/>
                <w:sz w:val="19"/>
              </w:rPr>
            </w:pPr>
            <w:r>
              <w:rPr>
                <w:rFonts w:hint="eastAsia"/>
                <w:sz w:val="19"/>
              </w:rPr>
              <w:t>横道川</w:t>
            </w:r>
          </w:p>
        </w:tc>
        <w:tc>
          <w:tcPr>
            <w:tcW w:w="4505" w:type="dxa"/>
            <w:shd w:val="clear" w:color="auto" w:fill="auto"/>
            <w:noWrap/>
            <w:vAlign w:val="center"/>
          </w:tcPr>
          <w:p>
            <w:pPr>
              <w:spacing w:line="240" w:lineRule="auto"/>
              <w:jc w:val="center"/>
              <w:rPr>
                <w:rFonts w:hint="eastAsia"/>
                <w:sz w:val="19"/>
              </w:rPr>
            </w:pPr>
            <w:r>
              <w:rPr>
                <w:rFonts w:hint="eastAsia"/>
                <w:sz w:val="19"/>
              </w:rPr>
              <w:t>横道川广场</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125.5757514</w:t>
            </w:r>
          </w:p>
        </w:tc>
        <w:tc>
          <w:tcPr>
            <w:tcW w:w="752" w:type="dxa"/>
            <w:shd w:val="clear" w:color="auto" w:fill="auto"/>
            <w:noWrap/>
            <w:vAlign w:val="center"/>
          </w:tcPr>
          <w:p>
            <w:pPr>
              <w:spacing w:line="240" w:lineRule="auto"/>
              <w:jc w:val="center"/>
              <w:rPr>
                <w:rFonts w:hint="eastAsia"/>
                <w:sz w:val="19"/>
              </w:rPr>
            </w:pPr>
            <w:r>
              <w:rPr>
                <w:rFonts w:hint="eastAsia"/>
                <w:sz w:val="19"/>
              </w:rPr>
              <w:t>41.23567124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79</w:t>
            </w:r>
          </w:p>
        </w:tc>
        <w:tc>
          <w:tcPr>
            <w:tcW w:w="3575" w:type="dxa"/>
            <w:shd w:val="clear" w:color="auto" w:fill="auto"/>
            <w:noWrap/>
            <w:vAlign w:val="center"/>
          </w:tcPr>
          <w:p>
            <w:pPr>
              <w:spacing w:line="240" w:lineRule="auto"/>
              <w:jc w:val="center"/>
              <w:rPr>
                <w:rFonts w:hint="eastAsia"/>
                <w:sz w:val="19"/>
              </w:rPr>
            </w:pPr>
            <w:r>
              <w:rPr>
                <w:rFonts w:hint="eastAsia"/>
                <w:sz w:val="19"/>
              </w:rPr>
              <w:t>四道岭子</w:t>
            </w:r>
          </w:p>
        </w:tc>
        <w:tc>
          <w:tcPr>
            <w:tcW w:w="4505" w:type="dxa"/>
            <w:shd w:val="clear" w:color="auto" w:fill="auto"/>
            <w:noWrap/>
            <w:vAlign w:val="center"/>
          </w:tcPr>
          <w:p>
            <w:pPr>
              <w:spacing w:line="240" w:lineRule="auto"/>
              <w:jc w:val="center"/>
              <w:rPr>
                <w:rFonts w:hint="eastAsia"/>
                <w:sz w:val="19"/>
              </w:rPr>
            </w:pPr>
            <w:r>
              <w:rPr>
                <w:rFonts w:hint="eastAsia"/>
                <w:sz w:val="19"/>
              </w:rPr>
              <w:t>村委会院内</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125.4935302</w:t>
            </w:r>
          </w:p>
        </w:tc>
        <w:tc>
          <w:tcPr>
            <w:tcW w:w="752" w:type="dxa"/>
            <w:shd w:val="clear" w:color="auto" w:fill="auto"/>
            <w:noWrap/>
            <w:vAlign w:val="center"/>
          </w:tcPr>
          <w:p>
            <w:pPr>
              <w:spacing w:line="240" w:lineRule="auto"/>
              <w:jc w:val="center"/>
              <w:rPr>
                <w:rFonts w:hint="eastAsia"/>
                <w:sz w:val="19"/>
              </w:rPr>
            </w:pPr>
            <w:r>
              <w:rPr>
                <w:rFonts w:hint="eastAsia"/>
                <w:sz w:val="19"/>
              </w:rPr>
              <w:t>41.21835173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80</w:t>
            </w:r>
          </w:p>
        </w:tc>
        <w:tc>
          <w:tcPr>
            <w:tcW w:w="3575" w:type="dxa"/>
            <w:shd w:val="clear" w:color="auto" w:fill="auto"/>
            <w:noWrap/>
            <w:vAlign w:val="center"/>
          </w:tcPr>
          <w:p>
            <w:pPr>
              <w:spacing w:line="240" w:lineRule="auto"/>
              <w:jc w:val="center"/>
              <w:rPr>
                <w:rFonts w:hint="eastAsia"/>
                <w:sz w:val="19"/>
              </w:rPr>
            </w:pPr>
            <w:r>
              <w:rPr>
                <w:rFonts w:hint="eastAsia"/>
                <w:sz w:val="19"/>
              </w:rPr>
              <w:t>鸡冠砬子村</w:t>
            </w:r>
          </w:p>
        </w:tc>
        <w:tc>
          <w:tcPr>
            <w:tcW w:w="4505" w:type="dxa"/>
            <w:shd w:val="clear" w:color="auto" w:fill="auto"/>
            <w:noWrap/>
            <w:vAlign w:val="center"/>
          </w:tcPr>
          <w:p>
            <w:pPr>
              <w:spacing w:line="240" w:lineRule="auto"/>
              <w:jc w:val="center"/>
              <w:rPr>
                <w:rFonts w:hint="eastAsia"/>
                <w:sz w:val="19"/>
              </w:rPr>
            </w:pPr>
            <w:r>
              <w:rPr>
                <w:rFonts w:hint="eastAsia"/>
                <w:sz w:val="19"/>
              </w:rPr>
              <w:t>村委会院内</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125.4602007</w:t>
            </w:r>
          </w:p>
        </w:tc>
        <w:tc>
          <w:tcPr>
            <w:tcW w:w="752" w:type="dxa"/>
            <w:shd w:val="clear" w:color="auto" w:fill="auto"/>
            <w:noWrap/>
            <w:vAlign w:val="center"/>
          </w:tcPr>
          <w:p>
            <w:pPr>
              <w:spacing w:line="240" w:lineRule="auto"/>
              <w:jc w:val="center"/>
              <w:rPr>
                <w:rFonts w:hint="eastAsia"/>
                <w:sz w:val="19"/>
              </w:rPr>
            </w:pPr>
            <w:r>
              <w:rPr>
                <w:rFonts w:hint="eastAsia"/>
                <w:sz w:val="19"/>
              </w:rPr>
              <w:t>41.19984147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81</w:t>
            </w:r>
          </w:p>
        </w:tc>
        <w:tc>
          <w:tcPr>
            <w:tcW w:w="3575" w:type="dxa"/>
            <w:shd w:val="clear" w:color="auto" w:fill="auto"/>
            <w:noWrap/>
            <w:vAlign w:val="center"/>
          </w:tcPr>
          <w:p>
            <w:pPr>
              <w:spacing w:line="240" w:lineRule="auto"/>
              <w:jc w:val="center"/>
              <w:rPr>
                <w:rFonts w:hint="eastAsia"/>
                <w:sz w:val="19"/>
              </w:rPr>
            </w:pPr>
            <w:r>
              <w:rPr>
                <w:rFonts w:hint="eastAsia"/>
                <w:sz w:val="19"/>
              </w:rPr>
              <w:t>二棚甸子村</w:t>
            </w:r>
          </w:p>
        </w:tc>
        <w:tc>
          <w:tcPr>
            <w:tcW w:w="4505" w:type="dxa"/>
            <w:shd w:val="clear" w:color="auto" w:fill="auto"/>
            <w:noWrap/>
            <w:vAlign w:val="center"/>
          </w:tcPr>
          <w:p>
            <w:pPr>
              <w:spacing w:line="240" w:lineRule="auto"/>
              <w:jc w:val="center"/>
              <w:rPr>
                <w:rFonts w:hint="eastAsia"/>
                <w:sz w:val="19"/>
              </w:rPr>
            </w:pPr>
            <w:r>
              <w:rPr>
                <w:rFonts w:hint="eastAsia"/>
                <w:sz w:val="19"/>
              </w:rPr>
              <w:t>村委会院内</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125.5031833</w:t>
            </w:r>
          </w:p>
        </w:tc>
        <w:tc>
          <w:tcPr>
            <w:tcW w:w="752" w:type="dxa"/>
            <w:shd w:val="clear" w:color="auto" w:fill="auto"/>
            <w:noWrap/>
            <w:vAlign w:val="center"/>
          </w:tcPr>
          <w:p>
            <w:pPr>
              <w:spacing w:line="240" w:lineRule="auto"/>
              <w:jc w:val="center"/>
              <w:rPr>
                <w:rFonts w:hint="eastAsia"/>
                <w:sz w:val="19"/>
              </w:rPr>
            </w:pPr>
            <w:r>
              <w:rPr>
                <w:rFonts w:hint="eastAsia"/>
                <w:sz w:val="19"/>
              </w:rPr>
              <w:t>41.18964046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82</w:t>
            </w:r>
          </w:p>
        </w:tc>
        <w:tc>
          <w:tcPr>
            <w:tcW w:w="3575" w:type="dxa"/>
            <w:shd w:val="clear" w:color="auto" w:fill="auto"/>
            <w:noWrap/>
            <w:vAlign w:val="center"/>
          </w:tcPr>
          <w:p>
            <w:pPr>
              <w:spacing w:line="240" w:lineRule="auto"/>
              <w:jc w:val="center"/>
              <w:rPr>
                <w:rFonts w:hint="eastAsia"/>
                <w:sz w:val="19"/>
              </w:rPr>
            </w:pPr>
            <w:r>
              <w:rPr>
                <w:rFonts w:hint="eastAsia"/>
                <w:sz w:val="19"/>
              </w:rPr>
              <w:t>卫星社区</w:t>
            </w:r>
          </w:p>
        </w:tc>
        <w:tc>
          <w:tcPr>
            <w:tcW w:w="4505" w:type="dxa"/>
            <w:shd w:val="clear" w:color="auto" w:fill="auto"/>
            <w:noWrap/>
            <w:vAlign w:val="center"/>
          </w:tcPr>
          <w:p>
            <w:pPr>
              <w:spacing w:line="240" w:lineRule="auto"/>
              <w:jc w:val="center"/>
              <w:rPr>
                <w:rFonts w:hint="eastAsia"/>
                <w:sz w:val="19"/>
              </w:rPr>
            </w:pPr>
            <w:r>
              <w:rPr>
                <w:rFonts w:hint="eastAsia"/>
                <w:sz w:val="19"/>
              </w:rPr>
              <w:t>居委会门口</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125.5037967</w:t>
            </w:r>
          </w:p>
        </w:tc>
        <w:tc>
          <w:tcPr>
            <w:tcW w:w="752" w:type="dxa"/>
            <w:shd w:val="clear" w:color="auto" w:fill="auto"/>
            <w:noWrap/>
            <w:vAlign w:val="center"/>
          </w:tcPr>
          <w:p>
            <w:pPr>
              <w:spacing w:line="240" w:lineRule="auto"/>
              <w:jc w:val="center"/>
              <w:rPr>
                <w:rFonts w:hint="eastAsia"/>
                <w:sz w:val="19"/>
              </w:rPr>
            </w:pPr>
            <w:r>
              <w:rPr>
                <w:rFonts w:hint="eastAsia"/>
                <w:sz w:val="19"/>
              </w:rPr>
              <w:t>41.18381082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83</w:t>
            </w:r>
          </w:p>
        </w:tc>
        <w:tc>
          <w:tcPr>
            <w:tcW w:w="3575" w:type="dxa"/>
            <w:shd w:val="clear" w:color="auto" w:fill="auto"/>
            <w:noWrap/>
            <w:vAlign w:val="center"/>
          </w:tcPr>
          <w:p>
            <w:pPr>
              <w:spacing w:line="240" w:lineRule="auto"/>
              <w:jc w:val="center"/>
              <w:rPr>
                <w:rFonts w:hint="eastAsia"/>
                <w:sz w:val="19"/>
              </w:rPr>
            </w:pPr>
            <w:r>
              <w:rPr>
                <w:rFonts w:hint="eastAsia"/>
                <w:sz w:val="19"/>
              </w:rPr>
              <w:t>东风社区</w:t>
            </w:r>
          </w:p>
        </w:tc>
        <w:tc>
          <w:tcPr>
            <w:tcW w:w="4505" w:type="dxa"/>
            <w:shd w:val="clear" w:color="auto" w:fill="auto"/>
            <w:noWrap/>
            <w:vAlign w:val="center"/>
          </w:tcPr>
          <w:p>
            <w:pPr>
              <w:spacing w:line="240" w:lineRule="auto"/>
              <w:jc w:val="center"/>
              <w:rPr>
                <w:rFonts w:hint="eastAsia"/>
                <w:sz w:val="19"/>
              </w:rPr>
            </w:pPr>
            <w:r>
              <w:rPr>
                <w:rFonts w:hint="eastAsia"/>
                <w:sz w:val="19"/>
              </w:rPr>
              <w:t>居委会门口</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125.5016355</w:t>
            </w:r>
          </w:p>
        </w:tc>
        <w:tc>
          <w:tcPr>
            <w:tcW w:w="752" w:type="dxa"/>
            <w:shd w:val="clear" w:color="auto" w:fill="auto"/>
            <w:noWrap/>
            <w:vAlign w:val="center"/>
          </w:tcPr>
          <w:p>
            <w:pPr>
              <w:spacing w:line="240" w:lineRule="auto"/>
              <w:jc w:val="center"/>
              <w:rPr>
                <w:rFonts w:hint="eastAsia"/>
                <w:sz w:val="19"/>
              </w:rPr>
            </w:pPr>
            <w:r>
              <w:rPr>
                <w:rFonts w:hint="eastAsia"/>
                <w:sz w:val="19"/>
              </w:rPr>
              <w:t>41.17807084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84</w:t>
            </w:r>
          </w:p>
        </w:tc>
        <w:tc>
          <w:tcPr>
            <w:tcW w:w="3575" w:type="dxa"/>
            <w:shd w:val="clear" w:color="auto" w:fill="auto"/>
            <w:noWrap/>
            <w:vAlign w:val="center"/>
          </w:tcPr>
          <w:p>
            <w:pPr>
              <w:spacing w:line="240" w:lineRule="auto"/>
              <w:jc w:val="center"/>
              <w:rPr>
                <w:rFonts w:hint="eastAsia"/>
                <w:sz w:val="19"/>
              </w:rPr>
            </w:pPr>
            <w:r>
              <w:rPr>
                <w:rFonts w:hint="eastAsia"/>
                <w:sz w:val="19"/>
              </w:rPr>
              <w:t>松兰社区</w:t>
            </w:r>
          </w:p>
        </w:tc>
        <w:tc>
          <w:tcPr>
            <w:tcW w:w="4505" w:type="dxa"/>
            <w:shd w:val="clear" w:color="auto" w:fill="auto"/>
            <w:noWrap/>
            <w:vAlign w:val="center"/>
          </w:tcPr>
          <w:p>
            <w:pPr>
              <w:spacing w:line="240" w:lineRule="auto"/>
              <w:jc w:val="center"/>
              <w:rPr>
                <w:rFonts w:hint="eastAsia"/>
                <w:sz w:val="19"/>
              </w:rPr>
            </w:pPr>
            <w:r>
              <w:rPr>
                <w:rFonts w:hint="eastAsia"/>
                <w:sz w:val="19"/>
              </w:rPr>
              <w:t>居委会门口</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125.5056613</w:t>
            </w:r>
          </w:p>
        </w:tc>
        <w:tc>
          <w:tcPr>
            <w:tcW w:w="752" w:type="dxa"/>
            <w:shd w:val="clear" w:color="auto" w:fill="auto"/>
            <w:noWrap/>
            <w:vAlign w:val="center"/>
          </w:tcPr>
          <w:p>
            <w:pPr>
              <w:spacing w:line="240" w:lineRule="auto"/>
              <w:jc w:val="center"/>
              <w:rPr>
                <w:rFonts w:hint="eastAsia"/>
                <w:sz w:val="19"/>
              </w:rPr>
            </w:pPr>
            <w:r>
              <w:rPr>
                <w:rFonts w:hint="eastAsia"/>
                <w:sz w:val="19"/>
              </w:rPr>
              <w:t>41.18488055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85</w:t>
            </w:r>
          </w:p>
        </w:tc>
        <w:tc>
          <w:tcPr>
            <w:tcW w:w="3575" w:type="dxa"/>
            <w:shd w:val="clear" w:color="auto" w:fill="auto"/>
            <w:noWrap/>
            <w:vAlign w:val="center"/>
          </w:tcPr>
          <w:p>
            <w:pPr>
              <w:spacing w:line="240" w:lineRule="auto"/>
              <w:jc w:val="center"/>
              <w:rPr>
                <w:rFonts w:hint="eastAsia"/>
                <w:sz w:val="19"/>
              </w:rPr>
            </w:pPr>
            <w:r>
              <w:rPr>
                <w:rFonts w:hint="eastAsia"/>
                <w:sz w:val="19"/>
              </w:rPr>
              <w:t>北沟村</w:t>
            </w:r>
          </w:p>
        </w:tc>
        <w:tc>
          <w:tcPr>
            <w:tcW w:w="4505" w:type="dxa"/>
            <w:shd w:val="clear" w:color="auto" w:fill="auto"/>
            <w:noWrap/>
            <w:vAlign w:val="center"/>
          </w:tcPr>
          <w:p>
            <w:pPr>
              <w:spacing w:line="240" w:lineRule="auto"/>
              <w:jc w:val="center"/>
              <w:rPr>
                <w:rFonts w:hint="eastAsia"/>
                <w:sz w:val="19"/>
              </w:rPr>
            </w:pPr>
            <w:r>
              <w:rPr>
                <w:rFonts w:hint="eastAsia"/>
                <w:sz w:val="19"/>
              </w:rPr>
              <w:t>村委会院内</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125.5672838</w:t>
            </w:r>
          </w:p>
        </w:tc>
        <w:tc>
          <w:tcPr>
            <w:tcW w:w="752" w:type="dxa"/>
            <w:shd w:val="clear" w:color="auto" w:fill="auto"/>
            <w:noWrap/>
            <w:vAlign w:val="center"/>
          </w:tcPr>
          <w:p>
            <w:pPr>
              <w:spacing w:line="240" w:lineRule="auto"/>
              <w:jc w:val="center"/>
              <w:rPr>
                <w:rFonts w:hint="eastAsia"/>
                <w:sz w:val="19"/>
              </w:rPr>
            </w:pPr>
            <w:r>
              <w:rPr>
                <w:rFonts w:hint="eastAsia"/>
                <w:sz w:val="19"/>
              </w:rPr>
              <w:t>41.0584822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86</w:t>
            </w:r>
          </w:p>
        </w:tc>
        <w:tc>
          <w:tcPr>
            <w:tcW w:w="3575" w:type="dxa"/>
            <w:shd w:val="clear" w:color="auto" w:fill="auto"/>
            <w:noWrap/>
            <w:vAlign w:val="center"/>
          </w:tcPr>
          <w:p>
            <w:pPr>
              <w:spacing w:line="240" w:lineRule="auto"/>
              <w:jc w:val="center"/>
              <w:rPr>
                <w:rFonts w:hint="eastAsia"/>
                <w:sz w:val="19"/>
              </w:rPr>
            </w:pPr>
            <w:r>
              <w:rPr>
                <w:rFonts w:hint="eastAsia"/>
                <w:sz w:val="19"/>
              </w:rPr>
              <w:t>沙尖子村</w:t>
            </w:r>
          </w:p>
        </w:tc>
        <w:tc>
          <w:tcPr>
            <w:tcW w:w="4505" w:type="dxa"/>
            <w:shd w:val="clear" w:color="auto" w:fill="auto"/>
            <w:noWrap/>
            <w:vAlign w:val="center"/>
          </w:tcPr>
          <w:p>
            <w:pPr>
              <w:spacing w:line="240" w:lineRule="auto"/>
              <w:jc w:val="center"/>
              <w:rPr>
                <w:rFonts w:hint="eastAsia"/>
                <w:sz w:val="19"/>
              </w:rPr>
            </w:pPr>
            <w:r>
              <w:rPr>
                <w:rFonts w:hint="eastAsia"/>
                <w:sz w:val="19"/>
              </w:rPr>
              <w:t>沙尖子村部停车场内</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125.4579612</w:t>
            </w:r>
          </w:p>
        </w:tc>
        <w:tc>
          <w:tcPr>
            <w:tcW w:w="752" w:type="dxa"/>
            <w:shd w:val="clear" w:color="auto" w:fill="auto"/>
            <w:noWrap/>
            <w:vAlign w:val="center"/>
          </w:tcPr>
          <w:p>
            <w:pPr>
              <w:spacing w:line="240" w:lineRule="auto"/>
              <w:jc w:val="center"/>
              <w:rPr>
                <w:rFonts w:hint="eastAsia"/>
                <w:sz w:val="19"/>
              </w:rPr>
            </w:pPr>
            <w:r>
              <w:rPr>
                <w:rFonts w:hint="eastAsia"/>
                <w:sz w:val="19"/>
              </w:rPr>
              <w:t>41.00428034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87</w:t>
            </w:r>
          </w:p>
        </w:tc>
        <w:tc>
          <w:tcPr>
            <w:tcW w:w="3575" w:type="dxa"/>
            <w:shd w:val="clear" w:color="auto" w:fill="auto"/>
            <w:noWrap/>
            <w:vAlign w:val="center"/>
          </w:tcPr>
          <w:p>
            <w:pPr>
              <w:spacing w:line="240" w:lineRule="auto"/>
              <w:jc w:val="center"/>
              <w:rPr>
                <w:rFonts w:hint="eastAsia"/>
                <w:sz w:val="19"/>
              </w:rPr>
            </w:pPr>
            <w:r>
              <w:rPr>
                <w:rFonts w:hint="eastAsia"/>
                <w:sz w:val="19"/>
              </w:rPr>
              <w:t>桦树甸子村委会</w:t>
            </w:r>
          </w:p>
        </w:tc>
        <w:tc>
          <w:tcPr>
            <w:tcW w:w="4505" w:type="dxa"/>
            <w:shd w:val="clear" w:color="auto" w:fill="auto"/>
            <w:noWrap/>
            <w:vAlign w:val="center"/>
          </w:tcPr>
          <w:p>
            <w:pPr>
              <w:spacing w:line="240" w:lineRule="auto"/>
              <w:jc w:val="center"/>
              <w:rPr>
                <w:rFonts w:hint="eastAsia"/>
                <w:sz w:val="19"/>
              </w:rPr>
            </w:pPr>
            <w:r>
              <w:rPr>
                <w:rFonts w:hint="eastAsia"/>
                <w:sz w:val="19"/>
              </w:rPr>
              <w:t>村委会</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125.6544496</w:t>
            </w:r>
          </w:p>
        </w:tc>
        <w:tc>
          <w:tcPr>
            <w:tcW w:w="752" w:type="dxa"/>
            <w:shd w:val="clear" w:color="auto" w:fill="auto"/>
            <w:noWrap/>
            <w:vAlign w:val="center"/>
          </w:tcPr>
          <w:p>
            <w:pPr>
              <w:spacing w:line="240" w:lineRule="auto"/>
              <w:jc w:val="center"/>
              <w:rPr>
                <w:rFonts w:hint="eastAsia"/>
                <w:sz w:val="19"/>
              </w:rPr>
            </w:pPr>
            <w:r>
              <w:rPr>
                <w:rFonts w:hint="eastAsia"/>
                <w:sz w:val="19"/>
              </w:rPr>
              <w:t>41.04453759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88</w:t>
            </w:r>
          </w:p>
        </w:tc>
        <w:tc>
          <w:tcPr>
            <w:tcW w:w="3575" w:type="dxa"/>
            <w:shd w:val="clear" w:color="auto" w:fill="auto"/>
            <w:noWrap/>
            <w:vAlign w:val="center"/>
          </w:tcPr>
          <w:p>
            <w:pPr>
              <w:spacing w:line="240" w:lineRule="auto"/>
              <w:jc w:val="center"/>
              <w:rPr>
                <w:rFonts w:hint="eastAsia"/>
                <w:sz w:val="19"/>
              </w:rPr>
            </w:pPr>
            <w:r>
              <w:rPr>
                <w:rFonts w:hint="eastAsia"/>
                <w:sz w:val="19"/>
              </w:rPr>
              <w:t>大镜沟村委会</w:t>
            </w:r>
          </w:p>
        </w:tc>
        <w:tc>
          <w:tcPr>
            <w:tcW w:w="4505" w:type="dxa"/>
            <w:shd w:val="clear" w:color="auto" w:fill="auto"/>
            <w:noWrap/>
            <w:vAlign w:val="center"/>
          </w:tcPr>
          <w:p>
            <w:pPr>
              <w:spacing w:line="240" w:lineRule="auto"/>
              <w:jc w:val="center"/>
              <w:rPr>
                <w:rFonts w:hint="eastAsia"/>
                <w:sz w:val="19"/>
              </w:rPr>
            </w:pPr>
            <w:r>
              <w:rPr>
                <w:rFonts w:hint="eastAsia"/>
                <w:sz w:val="19"/>
              </w:rPr>
              <w:t>村委会</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125.6346511</w:t>
            </w:r>
          </w:p>
        </w:tc>
        <w:tc>
          <w:tcPr>
            <w:tcW w:w="752" w:type="dxa"/>
            <w:shd w:val="clear" w:color="auto" w:fill="auto"/>
            <w:noWrap/>
            <w:vAlign w:val="center"/>
          </w:tcPr>
          <w:p>
            <w:pPr>
              <w:spacing w:line="240" w:lineRule="auto"/>
              <w:jc w:val="center"/>
              <w:rPr>
                <w:rFonts w:hint="eastAsia"/>
                <w:sz w:val="19"/>
              </w:rPr>
            </w:pPr>
            <w:r>
              <w:rPr>
                <w:rFonts w:hint="eastAsia"/>
                <w:sz w:val="19"/>
              </w:rPr>
              <w:t>41.00929772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89</w:t>
            </w:r>
          </w:p>
        </w:tc>
        <w:tc>
          <w:tcPr>
            <w:tcW w:w="3575" w:type="dxa"/>
            <w:shd w:val="clear" w:color="auto" w:fill="auto"/>
            <w:noWrap/>
            <w:vAlign w:val="center"/>
          </w:tcPr>
          <w:p>
            <w:pPr>
              <w:spacing w:line="240" w:lineRule="auto"/>
              <w:jc w:val="center"/>
              <w:rPr>
                <w:rFonts w:hint="eastAsia"/>
                <w:sz w:val="19"/>
              </w:rPr>
            </w:pPr>
            <w:r>
              <w:rPr>
                <w:rFonts w:hint="eastAsia"/>
                <w:sz w:val="19"/>
              </w:rPr>
              <w:t>拐磨子村村委会</w:t>
            </w:r>
          </w:p>
        </w:tc>
        <w:tc>
          <w:tcPr>
            <w:tcW w:w="4505" w:type="dxa"/>
            <w:shd w:val="clear" w:color="auto" w:fill="auto"/>
            <w:noWrap/>
            <w:vAlign w:val="center"/>
          </w:tcPr>
          <w:p>
            <w:pPr>
              <w:spacing w:line="240" w:lineRule="auto"/>
              <w:jc w:val="center"/>
              <w:rPr>
                <w:rFonts w:hint="eastAsia"/>
                <w:sz w:val="19"/>
              </w:rPr>
            </w:pPr>
            <w:r>
              <w:rPr>
                <w:rFonts w:hint="eastAsia"/>
                <w:sz w:val="19"/>
              </w:rPr>
              <w:t>村委会</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125.46746</w:t>
            </w:r>
          </w:p>
        </w:tc>
        <w:tc>
          <w:tcPr>
            <w:tcW w:w="752" w:type="dxa"/>
            <w:shd w:val="clear" w:color="auto" w:fill="auto"/>
            <w:noWrap/>
            <w:vAlign w:val="center"/>
          </w:tcPr>
          <w:p>
            <w:pPr>
              <w:spacing w:line="240" w:lineRule="auto"/>
              <w:jc w:val="center"/>
              <w:rPr>
                <w:rFonts w:hint="eastAsia"/>
                <w:sz w:val="19"/>
              </w:rPr>
            </w:pPr>
            <w:r>
              <w:rPr>
                <w:rFonts w:hint="eastAsia"/>
                <w:sz w:val="19"/>
              </w:rPr>
              <w:t>41.479418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90</w:t>
            </w:r>
          </w:p>
        </w:tc>
        <w:tc>
          <w:tcPr>
            <w:tcW w:w="3575" w:type="dxa"/>
            <w:shd w:val="clear" w:color="auto" w:fill="auto"/>
            <w:noWrap/>
            <w:vAlign w:val="center"/>
          </w:tcPr>
          <w:p>
            <w:pPr>
              <w:spacing w:line="240" w:lineRule="auto"/>
              <w:jc w:val="center"/>
              <w:rPr>
                <w:rFonts w:hint="eastAsia"/>
                <w:sz w:val="19"/>
              </w:rPr>
            </w:pPr>
            <w:r>
              <w:rPr>
                <w:rFonts w:hint="eastAsia"/>
                <w:sz w:val="19"/>
              </w:rPr>
              <w:t>五道河子</w:t>
            </w:r>
          </w:p>
        </w:tc>
        <w:tc>
          <w:tcPr>
            <w:tcW w:w="4505" w:type="dxa"/>
            <w:shd w:val="clear" w:color="auto" w:fill="auto"/>
            <w:noWrap/>
            <w:vAlign w:val="center"/>
          </w:tcPr>
          <w:p>
            <w:pPr>
              <w:spacing w:line="240" w:lineRule="auto"/>
              <w:jc w:val="center"/>
              <w:rPr>
                <w:rFonts w:hint="eastAsia"/>
                <w:sz w:val="19"/>
              </w:rPr>
            </w:pPr>
            <w:r>
              <w:rPr>
                <w:rFonts w:hint="eastAsia"/>
                <w:sz w:val="19"/>
              </w:rPr>
              <w:t>村委会</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2026</w:t>
            </w:r>
          </w:p>
        </w:tc>
        <w:tc>
          <w:tcPr>
            <w:tcW w:w="752" w:type="dxa"/>
            <w:shd w:val="clear" w:color="auto" w:fill="auto"/>
            <w:noWrap/>
            <w:vAlign w:val="center"/>
          </w:tcPr>
          <w:p>
            <w:pPr>
              <w:spacing w:line="240" w:lineRule="auto"/>
              <w:jc w:val="center"/>
              <w:rPr>
                <w:rFonts w:hint="eastAsia"/>
                <w:sz w:val="19"/>
              </w:rPr>
            </w:pPr>
            <w:r>
              <w:rPr>
                <w:rFonts w:hint="eastAsia"/>
                <w:sz w:val="19"/>
              </w:rPr>
              <w:t>125.2746803</w:t>
            </w:r>
          </w:p>
        </w:tc>
        <w:tc>
          <w:tcPr>
            <w:tcW w:w="752" w:type="dxa"/>
            <w:shd w:val="clear" w:color="auto" w:fill="auto"/>
            <w:noWrap/>
            <w:vAlign w:val="center"/>
          </w:tcPr>
          <w:p>
            <w:pPr>
              <w:spacing w:line="240" w:lineRule="auto"/>
              <w:jc w:val="center"/>
              <w:rPr>
                <w:rFonts w:hint="eastAsia"/>
                <w:sz w:val="19"/>
              </w:rPr>
            </w:pPr>
            <w:r>
              <w:rPr>
                <w:rFonts w:hint="eastAsia"/>
                <w:sz w:val="19"/>
              </w:rPr>
              <w:t>41.33834308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91</w:t>
            </w:r>
          </w:p>
        </w:tc>
        <w:tc>
          <w:tcPr>
            <w:tcW w:w="3575" w:type="dxa"/>
            <w:shd w:val="clear" w:color="auto" w:fill="auto"/>
            <w:noWrap/>
            <w:vAlign w:val="center"/>
          </w:tcPr>
          <w:p>
            <w:pPr>
              <w:spacing w:line="240" w:lineRule="auto"/>
              <w:jc w:val="center"/>
              <w:rPr>
                <w:rFonts w:hint="eastAsia"/>
                <w:sz w:val="19"/>
              </w:rPr>
            </w:pPr>
            <w:r>
              <w:rPr>
                <w:rFonts w:hint="eastAsia"/>
                <w:sz w:val="19"/>
              </w:rPr>
              <w:t>马鹿泡村村民委员会</w:t>
            </w:r>
          </w:p>
        </w:tc>
        <w:tc>
          <w:tcPr>
            <w:tcW w:w="4505" w:type="dxa"/>
            <w:shd w:val="clear" w:color="auto" w:fill="auto"/>
            <w:noWrap/>
            <w:vAlign w:val="center"/>
          </w:tcPr>
          <w:p>
            <w:pPr>
              <w:spacing w:line="240" w:lineRule="auto"/>
              <w:jc w:val="center"/>
              <w:rPr>
                <w:rFonts w:hint="eastAsia"/>
                <w:sz w:val="19"/>
              </w:rPr>
            </w:pPr>
            <w:r>
              <w:rPr>
                <w:rFonts w:hint="eastAsia"/>
                <w:sz w:val="19"/>
              </w:rPr>
              <w:t>村委会</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2026</w:t>
            </w:r>
          </w:p>
        </w:tc>
        <w:tc>
          <w:tcPr>
            <w:tcW w:w="752" w:type="dxa"/>
            <w:shd w:val="clear" w:color="auto" w:fill="auto"/>
            <w:noWrap/>
            <w:vAlign w:val="center"/>
          </w:tcPr>
          <w:p>
            <w:pPr>
              <w:spacing w:line="240" w:lineRule="auto"/>
              <w:jc w:val="center"/>
              <w:rPr>
                <w:rFonts w:hint="eastAsia"/>
                <w:sz w:val="19"/>
              </w:rPr>
            </w:pPr>
            <w:r>
              <w:rPr>
                <w:rFonts w:hint="eastAsia"/>
                <w:sz w:val="19"/>
              </w:rPr>
              <w:t>124.8067917</w:t>
            </w:r>
          </w:p>
        </w:tc>
        <w:tc>
          <w:tcPr>
            <w:tcW w:w="752" w:type="dxa"/>
            <w:shd w:val="clear" w:color="auto" w:fill="auto"/>
            <w:noWrap/>
            <w:vAlign w:val="center"/>
          </w:tcPr>
          <w:p>
            <w:pPr>
              <w:spacing w:line="240" w:lineRule="auto"/>
              <w:jc w:val="center"/>
              <w:rPr>
                <w:rFonts w:hint="eastAsia"/>
                <w:sz w:val="19"/>
              </w:rPr>
            </w:pPr>
            <w:r>
              <w:rPr>
                <w:rFonts w:hint="eastAsia"/>
                <w:sz w:val="19"/>
              </w:rPr>
              <w:t>41.19199851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92</w:t>
            </w:r>
          </w:p>
        </w:tc>
        <w:tc>
          <w:tcPr>
            <w:tcW w:w="3575" w:type="dxa"/>
            <w:shd w:val="clear" w:color="auto" w:fill="auto"/>
            <w:noWrap/>
            <w:vAlign w:val="center"/>
          </w:tcPr>
          <w:p>
            <w:pPr>
              <w:spacing w:line="240" w:lineRule="auto"/>
              <w:jc w:val="center"/>
              <w:rPr>
                <w:rFonts w:hint="eastAsia"/>
                <w:sz w:val="19"/>
              </w:rPr>
            </w:pPr>
            <w:r>
              <w:rPr>
                <w:rFonts w:hint="eastAsia"/>
                <w:sz w:val="19"/>
              </w:rPr>
              <w:t>大南沟村村民委员会</w:t>
            </w:r>
          </w:p>
        </w:tc>
        <w:tc>
          <w:tcPr>
            <w:tcW w:w="4505" w:type="dxa"/>
            <w:shd w:val="clear" w:color="auto" w:fill="auto"/>
            <w:noWrap/>
            <w:vAlign w:val="center"/>
          </w:tcPr>
          <w:p>
            <w:pPr>
              <w:spacing w:line="240" w:lineRule="auto"/>
              <w:jc w:val="center"/>
              <w:rPr>
                <w:rFonts w:hint="eastAsia"/>
                <w:sz w:val="19"/>
              </w:rPr>
            </w:pPr>
            <w:r>
              <w:rPr>
                <w:rFonts w:hint="eastAsia"/>
                <w:sz w:val="19"/>
              </w:rPr>
              <w:t>村委会</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124.8708531</w:t>
            </w:r>
          </w:p>
        </w:tc>
        <w:tc>
          <w:tcPr>
            <w:tcW w:w="752" w:type="dxa"/>
            <w:shd w:val="clear" w:color="auto" w:fill="auto"/>
            <w:noWrap/>
            <w:vAlign w:val="center"/>
          </w:tcPr>
          <w:p>
            <w:pPr>
              <w:spacing w:line="240" w:lineRule="auto"/>
              <w:jc w:val="center"/>
              <w:rPr>
                <w:rFonts w:hint="eastAsia"/>
                <w:sz w:val="19"/>
              </w:rPr>
            </w:pPr>
            <w:r>
              <w:rPr>
                <w:rFonts w:hint="eastAsia"/>
                <w:sz w:val="19"/>
              </w:rPr>
              <w:t>41.20071846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93</w:t>
            </w:r>
          </w:p>
        </w:tc>
        <w:tc>
          <w:tcPr>
            <w:tcW w:w="3575" w:type="dxa"/>
            <w:shd w:val="clear" w:color="auto" w:fill="auto"/>
            <w:noWrap/>
            <w:vAlign w:val="center"/>
          </w:tcPr>
          <w:p>
            <w:pPr>
              <w:spacing w:line="240" w:lineRule="auto"/>
              <w:jc w:val="center"/>
              <w:rPr>
                <w:rFonts w:hint="eastAsia"/>
                <w:sz w:val="19"/>
              </w:rPr>
            </w:pPr>
            <w:r>
              <w:rPr>
                <w:rFonts w:hint="eastAsia"/>
                <w:sz w:val="19"/>
              </w:rPr>
              <w:t>柞木台子村村民委员会</w:t>
            </w:r>
          </w:p>
        </w:tc>
        <w:tc>
          <w:tcPr>
            <w:tcW w:w="4505" w:type="dxa"/>
            <w:shd w:val="clear" w:color="auto" w:fill="auto"/>
            <w:noWrap/>
            <w:vAlign w:val="center"/>
          </w:tcPr>
          <w:p>
            <w:pPr>
              <w:spacing w:line="240" w:lineRule="auto"/>
              <w:jc w:val="center"/>
              <w:rPr>
                <w:rFonts w:hint="eastAsia"/>
                <w:sz w:val="19"/>
              </w:rPr>
            </w:pPr>
            <w:r>
              <w:rPr>
                <w:rFonts w:hint="eastAsia"/>
                <w:sz w:val="19"/>
              </w:rPr>
              <w:t>村委会</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124.8471334</w:t>
            </w:r>
          </w:p>
        </w:tc>
        <w:tc>
          <w:tcPr>
            <w:tcW w:w="752" w:type="dxa"/>
            <w:shd w:val="clear" w:color="auto" w:fill="auto"/>
            <w:noWrap/>
            <w:vAlign w:val="center"/>
          </w:tcPr>
          <w:p>
            <w:pPr>
              <w:spacing w:line="240" w:lineRule="auto"/>
              <w:jc w:val="center"/>
              <w:rPr>
                <w:rFonts w:hint="eastAsia"/>
                <w:sz w:val="19"/>
              </w:rPr>
            </w:pPr>
            <w:r>
              <w:rPr>
                <w:rFonts w:hint="eastAsia"/>
                <w:sz w:val="19"/>
              </w:rPr>
              <w:t>41.22497392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94</w:t>
            </w:r>
          </w:p>
        </w:tc>
        <w:tc>
          <w:tcPr>
            <w:tcW w:w="3575" w:type="dxa"/>
            <w:shd w:val="clear" w:color="auto" w:fill="auto"/>
            <w:noWrap/>
            <w:vAlign w:val="center"/>
          </w:tcPr>
          <w:p>
            <w:pPr>
              <w:spacing w:line="240" w:lineRule="auto"/>
              <w:jc w:val="center"/>
              <w:rPr>
                <w:rFonts w:hint="eastAsia"/>
                <w:sz w:val="19"/>
              </w:rPr>
            </w:pPr>
            <w:r>
              <w:rPr>
                <w:rFonts w:hint="eastAsia"/>
                <w:sz w:val="19"/>
              </w:rPr>
              <w:t>闹枝沟村</w:t>
            </w:r>
          </w:p>
        </w:tc>
        <w:tc>
          <w:tcPr>
            <w:tcW w:w="4505" w:type="dxa"/>
            <w:shd w:val="clear" w:color="auto" w:fill="auto"/>
            <w:noWrap/>
            <w:vAlign w:val="center"/>
          </w:tcPr>
          <w:p>
            <w:pPr>
              <w:spacing w:line="240" w:lineRule="auto"/>
              <w:jc w:val="center"/>
              <w:rPr>
                <w:rFonts w:hint="eastAsia"/>
                <w:sz w:val="19"/>
              </w:rPr>
            </w:pPr>
            <w:r>
              <w:rPr>
                <w:rFonts w:hint="eastAsia"/>
                <w:sz w:val="19"/>
              </w:rPr>
              <w:t>村委会</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125.4021686</w:t>
            </w:r>
          </w:p>
        </w:tc>
        <w:tc>
          <w:tcPr>
            <w:tcW w:w="752" w:type="dxa"/>
            <w:shd w:val="clear" w:color="auto" w:fill="auto"/>
            <w:noWrap/>
            <w:vAlign w:val="center"/>
          </w:tcPr>
          <w:p>
            <w:pPr>
              <w:spacing w:line="240" w:lineRule="auto"/>
              <w:jc w:val="center"/>
              <w:rPr>
                <w:rFonts w:hint="eastAsia"/>
                <w:sz w:val="19"/>
              </w:rPr>
            </w:pPr>
            <w:r>
              <w:rPr>
                <w:rFonts w:hint="eastAsia"/>
                <w:sz w:val="19"/>
              </w:rPr>
              <w:t>41.03304903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95</w:t>
            </w:r>
          </w:p>
        </w:tc>
        <w:tc>
          <w:tcPr>
            <w:tcW w:w="3575" w:type="dxa"/>
            <w:shd w:val="clear" w:color="auto" w:fill="auto"/>
            <w:noWrap/>
            <w:vAlign w:val="center"/>
          </w:tcPr>
          <w:p>
            <w:pPr>
              <w:spacing w:line="240" w:lineRule="auto"/>
              <w:jc w:val="center"/>
              <w:rPr>
                <w:rFonts w:hint="eastAsia"/>
                <w:sz w:val="19"/>
              </w:rPr>
            </w:pPr>
            <w:r>
              <w:rPr>
                <w:rFonts w:hint="eastAsia"/>
                <w:sz w:val="19"/>
              </w:rPr>
              <w:t>干沟子村</w:t>
            </w:r>
          </w:p>
        </w:tc>
        <w:tc>
          <w:tcPr>
            <w:tcW w:w="4505" w:type="dxa"/>
            <w:shd w:val="clear" w:color="auto" w:fill="auto"/>
            <w:noWrap/>
            <w:vAlign w:val="center"/>
          </w:tcPr>
          <w:p>
            <w:pPr>
              <w:spacing w:line="240" w:lineRule="auto"/>
              <w:jc w:val="center"/>
              <w:rPr>
                <w:rFonts w:hint="eastAsia"/>
                <w:sz w:val="19"/>
              </w:rPr>
            </w:pPr>
            <w:r>
              <w:rPr>
                <w:rFonts w:hint="eastAsia"/>
                <w:sz w:val="19"/>
              </w:rPr>
              <w:t>村委会</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125.508892</w:t>
            </w:r>
          </w:p>
        </w:tc>
        <w:tc>
          <w:tcPr>
            <w:tcW w:w="752" w:type="dxa"/>
            <w:shd w:val="clear" w:color="auto" w:fill="auto"/>
            <w:noWrap/>
            <w:vAlign w:val="center"/>
          </w:tcPr>
          <w:p>
            <w:pPr>
              <w:spacing w:line="240" w:lineRule="auto"/>
              <w:jc w:val="center"/>
              <w:rPr>
                <w:rFonts w:hint="eastAsia"/>
                <w:sz w:val="19"/>
              </w:rPr>
            </w:pPr>
            <w:r>
              <w:rPr>
                <w:rFonts w:hint="eastAsia"/>
                <w:sz w:val="19"/>
              </w:rPr>
              <w:t>41.04525069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96</w:t>
            </w:r>
          </w:p>
        </w:tc>
        <w:tc>
          <w:tcPr>
            <w:tcW w:w="3575" w:type="dxa"/>
            <w:shd w:val="clear" w:color="auto" w:fill="auto"/>
            <w:noWrap/>
            <w:vAlign w:val="center"/>
          </w:tcPr>
          <w:p>
            <w:pPr>
              <w:spacing w:line="240" w:lineRule="auto"/>
              <w:jc w:val="center"/>
              <w:rPr>
                <w:rFonts w:hint="eastAsia"/>
                <w:sz w:val="19"/>
              </w:rPr>
            </w:pPr>
            <w:r>
              <w:rPr>
                <w:rFonts w:hint="eastAsia"/>
                <w:sz w:val="19"/>
              </w:rPr>
              <w:t>影壁山村</w:t>
            </w:r>
          </w:p>
        </w:tc>
        <w:tc>
          <w:tcPr>
            <w:tcW w:w="4505" w:type="dxa"/>
            <w:shd w:val="clear" w:color="auto" w:fill="auto"/>
            <w:noWrap/>
            <w:vAlign w:val="center"/>
          </w:tcPr>
          <w:p>
            <w:pPr>
              <w:spacing w:line="240" w:lineRule="auto"/>
              <w:jc w:val="center"/>
              <w:rPr>
                <w:rFonts w:hint="eastAsia"/>
                <w:sz w:val="19"/>
              </w:rPr>
            </w:pPr>
            <w:r>
              <w:rPr>
                <w:rFonts w:hint="eastAsia"/>
                <w:sz w:val="19"/>
              </w:rPr>
              <w:t>村委会</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125.5448662</w:t>
            </w:r>
          </w:p>
        </w:tc>
        <w:tc>
          <w:tcPr>
            <w:tcW w:w="752" w:type="dxa"/>
            <w:shd w:val="clear" w:color="auto" w:fill="auto"/>
            <w:noWrap/>
            <w:vAlign w:val="center"/>
          </w:tcPr>
          <w:p>
            <w:pPr>
              <w:spacing w:line="240" w:lineRule="auto"/>
              <w:jc w:val="center"/>
              <w:rPr>
                <w:rFonts w:hint="eastAsia"/>
                <w:sz w:val="19"/>
              </w:rPr>
            </w:pPr>
            <w:r>
              <w:rPr>
                <w:rFonts w:hint="eastAsia"/>
                <w:sz w:val="19"/>
              </w:rPr>
              <w:t>41.14724061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97</w:t>
            </w:r>
          </w:p>
        </w:tc>
        <w:tc>
          <w:tcPr>
            <w:tcW w:w="3575" w:type="dxa"/>
            <w:shd w:val="clear" w:color="auto" w:fill="auto"/>
            <w:noWrap/>
            <w:vAlign w:val="center"/>
          </w:tcPr>
          <w:p>
            <w:pPr>
              <w:spacing w:line="240" w:lineRule="auto"/>
              <w:jc w:val="center"/>
              <w:rPr>
                <w:rFonts w:hint="eastAsia"/>
                <w:sz w:val="19"/>
              </w:rPr>
            </w:pPr>
            <w:r>
              <w:rPr>
                <w:rFonts w:hint="eastAsia"/>
                <w:sz w:val="19"/>
              </w:rPr>
              <w:t>秋皮沟村</w:t>
            </w:r>
          </w:p>
        </w:tc>
        <w:tc>
          <w:tcPr>
            <w:tcW w:w="4505" w:type="dxa"/>
            <w:shd w:val="clear" w:color="auto" w:fill="auto"/>
            <w:noWrap/>
            <w:vAlign w:val="center"/>
          </w:tcPr>
          <w:p>
            <w:pPr>
              <w:spacing w:line="240" w:lineRule="auto"/>
              <w:jc w:val="center"/>
              <w:rPr>
                <w:rFonts w:hint="eastAsia"/>
                <w:sz w:val="19"/>
              </w:rPr>
            </w:pPr>
            <w:r>
              <w:rPr>
                <w:rFonts w:hint="eastAsia"/>
                <w:sz w:val="19"/>
              </w:rPr>
              <w:t>村委会</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125.4651213</w:t>
            </w:r>
          </w:p>
        </w:tc>
        <w:tc>
          <w:tcPr>
            <w:tcW w:w="752" w:type="dxa"/>
            <w:shd w:val="clear" w:color="auto" w:fill="auto"/>
            <w:noWrap/>
            <w:vAlign w:val="center"/>
          </w:tcPr>
          <w:p>
            <w:pPr>
              <w:spacing w:line="240" w:lineRule="auto"/>
              <w:jc w:val="center"/>
              <w:rPr>
                <w:rFonts w:hint="eastAsia"/>
                <w:sz w:val="19"/>
              </w:rPr>
            </w:pPr>
            <w:r>
              <w:rPr>
                <w:rFonts w:hint="eastAsia"/>
                <w:sz w:val="19"/>
              </w:rPr>
              <w:t>41.02895441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98</w:t>
            </w:r>
          </w:p>
        </w:tc>
        <w:tc>
          <w:tcPr>
            <w:tcW w:w="3575" w:type="dxa"/>
            <w:shd w:val="clear" w:color="auto" w:fill="auto"/>
            <w:noWrap/>
            <w:vAlign w:val="center"/>
          </w:tcPr>
          <w:p>
            <w:pPr>
              <w:spacing w:line="240" w:lineRule="auto"/>
              <w:jc w:val="center"/>
              <w:rPr>
                <w:rFonts w:hint="eastAsia"/>
                <w:sz w:val="19"/>
              </w:rPr>
            </w:pPr>
            <w:r>
              <w:rPr>
                <w:rFonts w:hint="eastAsia"/>
                <w:sz w:val="19"/>
              </w:rPr>
              <w:t>岔路子村村民委员会</w:t>
            </w:r>
          </w:p>
        </w:tc>
        <w:tc>
          <w:tcPr>
            <w:tcW w:w="4505" w:type="dxa"/>
            <w:shd w:val="clear" w:color="auto" w:fill="auto"/>
            <w:noWrap/>
            <w:vAlign w:val="center"/>
          </w:tcPr>
          <w:p>
            <w:pPr>
              <w:spacing w:line="240" w:lineRule="auto"/>
              <w:jc w:val="center"/>
              <w:rPr>
                <w:rFonts w:hint="eastAsia"/>
                <w:sz w:val="19"/>
              </w:rPr>
            </w:pPr>
            <w:r>
              <w:rPr>
                <w:rFonts w:hint="eastAsia"/>
                <w:sz w:val="19"/>
              </w:rPr>
              <w:t>村委会</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125.4580542</w:t>
            </w:r>
          </w:p>
        </w:tc>
        <w:tc>
          <w:tcPr>
            <w:tcW w:w="752" w:type="dxa"/>
            <w:shd w:val="clear" w:color="auto" w:fill="auto"/>
            <w:noWrap/>
            <w:vAlign w:val="center"/>
          </w:tcPr>
          <w:p>
            <w:pPr>
              <w:spacing w:line="240" w:lineRule="auto"/>
              <w:jc w:val="center"/>
              <w:rPr>
                <w:rFonts w:hint="eastAsia"/>
                <w:sz w:val="19"/>
              </w:rPr>
            </w:pPr>
            <w:r>
              <w:rPr>
                <w:rFonts w:hint="eastAsia"/>
                <w:sz w:val="19"/>
              </w:rPr>
              <w:t>41.51185601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99</w:t>
            </w:r>
          </w:p>
        </w:tc>
        <w:tc>
          <w:tcPr>
            <w:tcW w:w="3575" w:type="dxa"/>
            <w:shd w:val="clear" w:color="auto" w:fill="auto"/>
            <w:noWrap/>
            <w:vAlign w:val="center"/>
          </w:tcPr>
          <w:p>
            <w:pPr>
              <w:spacing w:line="240" w:lineRule="auto"/>
              <w:jc w:val="center"/>
              <w:rPr>
                <w:rFonts w:hint="eastAsia"/>
                <w:sz w:val="19"/>
              </w:rPr>
            </w:pPr>
            <w:r>
              <w:rPr>
                <w:rFonts w:hint="eastAsia"/>
                <w:sz w:val="19"/>
              </w:rPr>
              <w:t>洼泥甸子村村民委员会</w:t>
            </w:r>
          </w:p>
        </w:tc>
        <w:tc>
          <w:tcPr>
            <w:tcW w:w="4505" w:type="dxa"/>
            <w:shd w:val="clear" w:color="auto" w:fill="auto"/>
            <w:noWrap/>
            <w:vAlign w:val="center"/>
          </w:tcPr>
          <w:p>
            <w:pPr>
              <w:spacing w:line="240" w:lineRule="auto"/>
              <w:jc w:val="center"/>
              <w:rPr>
                <w:rFonts w:hint="eastAsia"/>
                <w:sz w:val="19"/>
              </w:rPr>
            </w:pPr>
            <w:r>
              <w:rPr>
                <w:rFonts w:hint="eastAsia"/>
                <w:sz w:val="19"/>
              </w:rPr>
              <w:t>村委会</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125.4947539</w:t>
            </w:r>
          </w:p>
        </w:tc>
        <w:tc>
          <w:tcPr>
            <w:tcW w:w="752" w:type="dxa"/>
            <w:shd w:val="clear" w:color="auto" w:fill="auto"/>
            <w:noWrap/>
            <w:vAlign w:val="center"/>
          </w:tcPr>
          <w:p>
            <w:pPr>
              <w:spacing w:line="240" w:lineRule="auto"/>
              <w:jc w:val="center"/>
              <w:rPr>
                <w:rFonts w:hint="eastAsia"/>
                <w:sz w:val="19"/>
              </w:rPr>
            </w:pPr>
            <w:r>
              <w:rPr>
                <w:rFonts w:hint="eastAsia"/>
                <w:sz w:val="19"/>
              </w:rPr>
              <w:t>41.42731012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100</w:t>
            </w:r>
          </w:p>
        </w:tc>
        <w:tc>
          <w:tcPr>
            <w:tcW w:w="3575" w:type="dxa"/>
            <w:shd w:val="clear" w:color="auto" w:fill="auto"/>
            <w:noWrap/>
            <w:vAlign w:val="center"/>
          </w:tcPr>
          <w:p>
            <w:pPr>
              <w:spacing w:line="240" w:lineRule="auto"/>
              <w:jc w:val="center"/>
              <w:rPr>
                <w:rFonts w:hint="eastAsia"/>
                <w:sz w:val="19"/>
              </w:rPr>
            </w:pPr>
            <w:r>
              <w:rPr>
                <w:rFonts w:hint="eastAsia"/>
                <w:sz w:val="19"/>
              </w:rPr>
              <w:t>桓仁满</w:t>
            </w:r>
            <w:r>
              <w:rPr>
                <w:rFonts w:hint="eastAsia"/>
                <w:sz w:val="19"/>
                <w:lang w:eastAsia="zh-CN"/>
              </w:rPr>
              <w:t>族</w:t>
            </w:r>
            <w:r>
              <w:rPr>
                <w:rFonts w:hint="eastAsia"/>
                <w:sz w:val="19"/>
              </w:rPr>
              <w:t>自治县人防地震局</w:t>
            </w:r>
          </w:p>
        </w:tc>
        <w:tc>
          <w:tcPr>
            <w:tcW w:w="4505" w:type="dxa"/>
            <w:shd w:val="clear" w:color="auto" w:fill="auto"/>
            <w:noWrap/>
            <w:vAlign w:val="center"/>
          </w:tcPr>
          <w:p>
            <w:pPr>
              <w:spacing w:line="240" w:lineRule="auto"/>
              <w:jc w:val="center"/>
              <w:rPr>
                <w:rFonts w:hint="eastAsia"/>
                <w:sz w:val="19"/>
              </w:rPr>
            </w:pPr>
            <w:r>
              <w:rPr>
                <w:rFonts w:hint="eastAsia"/>
                <w:sz w:val="19"/>
              </w:rPr>
              <w:t>桓仁满</w:t>
            </w:r>
            <w:r>
              <w:rPr>
                <w:rFonts w:hint="eastAsia"/>
                <w:sz w:val="19"/>
                <w:lang w:eastAsia="zh-CN"/>
              </w:rPr>
              <w:t>族</w:t>
            </w:r>
            <w:bookmarkStart w:id="91" w:name="_GoBack"/>
            <w:bookmarkEnd w:id="91"/>
            <w:r>
              <w:rPr>
                <w:rFonts w:hint="eastAsia"/>
                <w:sz w:val="19"/>
              </w:rPr>
              <w:t>自治县人防地震局</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2028</w:t>
            </w:r>
          </w:p>
        </w:tc>
        <w:tc>
          <w:tcPr>
            <w:tcW w:w="752" w:type="dxa"/>
            <w:shd w:val="clear" w:color="auto" w:fill="auto"/>
            <w:noWrap/>
            <w:vAlign w:val="center"/>
          </w:tcPr>
          <w:p>
            <w:pPr>
              <w:spacing w:line="240" w:lineRule="auto"/>
              <w:jc w:val="center"/>
              <w:rPr>
                <w:rFonts w:hint="eastAsia"/>
                <w:sz w:val="19"/>
              </w:rPr>
            </w:pPr>
            <w:r>
              <w:rPr>
                <w:rFonts w:hint="eastAsia"/>
                <w:sz w:val="19"/>
              </w:rPr>
              <w:t>125.3554791</w:t>
            </w:r>
          </w:p>
        </w:tc>
        <w:tc>
          <w:tcPr>
            <w:tcW w:w="752" w:type="dxa"/>
            <w:shd w:val="clear" w:color="auto" w:fill="auto"/>
            <w:noWrap/>
            <w:vAlign w:val="center"/>
          </w:tcPr>
          <w:p>
            <w:pPr>
              <w:spacing w:line="240" w:lineRule="auto"/>
              <w:jc w:val="center"/>
              <w:rPr>
                <w:rFonts w:hint="eastAsia"/>
                <w:sz w:val="19"/>
              </w:rPr>
            </w:pPr>
            <w:r>
              <w:rPr>
                <w:rFonts w:hint="eastAsia"/>
                <w:sz w:val="19"/>
              </w:rPr>
              <w:t>41.27030348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101</w:t>
            </w:r>
          </w:p>
        </w:tc>
        <w:tc>
          <w:tcPr>
            <w:tcW w:w="3575" w:type="dxa"/>
            <w:shd w:val="clear" w:color="auto" w:fill="auto"/>
            <w:noWrap/>
            <w:vAlign w:val="center"/>
          </w:tcPr>
          <w:p>
            <w:pPr>
              <w:spacing w:line="240" w:lineRule="auto"/>
              <w:jc w:val="center"/>
              <w:rPr>
                <w:rFonts w:hint="eastAsia"/>
                <w:sz w:val="19"/>
              </w:rPr>
            </w:pPr>
            <w:r>
              <w:rPr>
                <w:rFonts w:hint="eastAsia"/>
                <w:sz w:val="19"/>
              </w:rPr>
              <w:t>雅河客运站对面工业园区</w:t>
            </w:r>
          </w:p>
        </w:tc>
        <w:tc>
          <w:tcPr>
            <w:tcW w:w="4505" w:type="dxa"/>
            <w:shd w:val="clear" w:color="auto" w:fill="auto"/>
            <w:noWrap/>
            <w:vAlign w:val="center"/>
          </w:tcPr>
          <w:p>
            <w:pPr>
              <w:spacing w:line="240" w:lineRule="auto"/>
              <w:jc w:val="center"/>
              <w:rPr>
                <w:rFonts w:hint="eastAsia"/>
                <w:sz w:val="19"/>
              </w:rPr>
            </w:pPr>
            <w:r>
              <w:rPr>
                <w:rFonts w:hint="eastAsia"/>
                <w:sz w:val="19"/>
              </w:rPr>
              <w:t>雅河客运站对面工业园区</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5</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2028</w:t>
            </w:r>
          </w:p>
        </w:tc>
        <w:tc>
          <w:tcPr>
            <w:tcW w:w="752" w:type="dxa"/>
            <w:shd w:val="clear" w:color="auto" w:fill="auto"/>
            <w:noWrap/>
            <w:vAlign w:val="center"/>
          </w:tcPr>
          <w:p>
            <w:pPr>
              <w:spacing w:line="240" w:lineRule="auto"/>
              <w:jc w:val="center"/>
              <w:rPr>
                <w:rFonts w:hint="eastAsia"/>
                <w:sz w:val="19"/>
              </w:rPr>
            </w:pPr>
            <w:r>
              <w:rPr>
                <w:rFonts w:hint="eastAsia"/>
                <w:sz w:val="19"/>
              </w:rPr>
              <w:t>125.3138351</w:t>
            </w:r>
          </w:p>
        </w:tc>
        <w:tc>
          <w:tcPr>
            <w:tcW w:w="752" w:type="dxa"/>
            <w:shd w:val="clear" w:color="auto" w:fill="auto"/>
            <w:noWrap/>
            <w:vAlign w:val="center"/>
          </w:tcPr>
          <w:p>
            <w:pPr>
              <w:spacing w:line="240" w:lineRule="auto"/>
              <w:jc w:val="center"/>
              <w:rPr>
                <w:rFonts w:hint="eastAsia"/>
                <w:sz w:val="19"/>
              </w:rPr>
            </w:pPr>
            <w:r>
              <w:rPr>
                <w:rFonts w:hint="eastAsia"/>
                <w:sz w:val="19"/>
              </w:rPr>
              <w:t>41.21031713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102</w:t>
            </w:r>
          </w:p>
        </w:tc>
        <w:tc>
          <w:tcPr>
            <w:tcW w:w="3575" w:type="dxa"/>
            <w:shd w:val="clear" w:color="auto" w:fill="auto"/>
            <w:noWrap/>
            <w:vAlign w:val="center"/>
          </w:tcPr>
          <w:p>
            <w:pPr>
              <w:spacing w:line="240" w:lineRule="auto"/>
              <w:jc w:val="center"/>
              <w:rPr>
                <w:rFonts w:hint="eastAsia"/>
                <w:sz w:val="19"/>
              </w:rPr>
            </w:pPr>
            <w:r>
              <w:rPr>
                <w:rFonts w:hint="eastAsia"/>
                <w:sz w:val="19"/>
              </w:rPr>
              <w:t>桓仁县西侧桥头附近</w:t>
            </w:r>
          </w:p>
        </w:tc>
        <w:tc>
          <w:tcPr>
            <w:tcW w:w="4505" w:type="dxa"/>
            <w:shd w:val="clear" w:color="auto" w:fill="auto"/>
            <w:noWrap/>
            <w:vAlign w:val="center"/>
          </w:tcPr>
          <w:p>
            <w:pPr>
              <w:spacing w:line="240" w:lineRule="auto"/>
              <w:jc w:val="center"/>
              <w:rPr>
                <w:rFonts w:hint="eastAsia"/>
                <w:sz w:val="19"/>
              </w:rPr>
            </w:pPr>
            <w:r>
              <w:rPr>
                <w:rFonts w:hint="eastAsia"/>
                <w:sz w:val="19"/>
              </w:rPr>
              <w:t>桓仁县西侧桥头附近</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5</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2028</w:t>
            </w:r>
          </w:p>
        </w:tc>
        <w:tc>
          <w:tcPr>
            <w:tcW w:w="752" w:type="dxa"/>
            <w:shd w:val="clear" w:color="auto" w:fill="auto"/>
            <w:noWrap/>
            <w:vAlign w:val="center"/>
          </w:tcPr>
          <w:p>
            <w:pPr>
              <w:spacing w:line="240" w:lineRule="auto"/>
              <w:jc w:val="center"/>
              <w:rPr>
                <w:rFonts w:hint="eastAsia"/>
                <w:sz w:val="19"/>
              </w:rPr>
            </w:pPr>
            <w:r>
              <w:rPr>
                <w:rFonts w:hint="eastAsia"/>
                <w:sz w:val="19"/>
              </w:rPr>
              <w:t>125.1492709</w:t>
            </w:r>
          </w:p>
        </w:tc>
        <w:tc>
          <w:tcPr>
            <w:tcW w:w="752" w:type="dxa"/>
            <w:shd w:val="clear" w:color="auto" w:fill="auto"/>
            <w:noWrap/>
            <w:vAlign w:val="center"/>
          </w:tcPr>
          <w:p>
            <w:pPr>
              <w:spacing w:line="240" w:lineRule="auto"/>
              <w:jc w:val="center"/>
              <w:rPr>
                <w:rFonts w:hint="eastAsia"/>
                <w:sz w:val="19"/>
              </w:rPr>
            </w:pPr>
            <w:r>
              <w:rPr>
                <w:rFonts w:hint="eastAsia"/>
                <w:sz w:val="19"/>
              </w:rPr>
              <w:t>41.36296393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103</w:t>
            </w:r>
          </w:p>
        </w:tc>
        <w:tc>
          <w:tcPr>
            <w:tcW w:w="3575" w:type="dxa"/>
            <w:shd w:val="clear" w:color="auto" w:fill="auto"/>
            <w:noWrap/>
            <w:vAlign w:val="center"/>
          </w:tcPr>
          <w:p>
            <w:pPr>
              <w:spacing w:line="240" w:lineRule="auto"/>
              <w:jc w:val="center"/>
              <w:rPr>
                <w:rFonts w:hint="eastAsia"/>
                <w:sz w:val="19"/>
              </w:rPr>
            </w:pPr>
            <w:r>
              <w:rPr>
                <w:rFonts w:hint="eastAsia"/>
                <w:sz w:val="19"/>
              </w:rPr>
              <w:t>五女山开发区南江园区健康集团停车场</w:t>
            </w:r>
          </w:p>
        </w:tc>
        <w:tc>
          <w:tcPr>
            <w:tcW w:w="4505" w:type="dxa"/>
            <w:shd w:val="clear" w:color="auto" w:fill="auto"/>
            <w:noWrap/>
            <w:vAlign w:val="center"/>
          </w:tcPr>
          <w:p>
            <w:pPr>
              <w:spacing w:line="240" w:lineRule="auto"/>
              <w:jc w:val="center"/>
              <w:rPr>
                <w:rFonts w:hint="eastAsia"/>
                <w:sz w:val="19"/>
              </w:rPr>
            </w:pPr>
            <w:r>
              <w:rPr>
                <w:rFonts w:hint="eastAsia"/>
                <w:sz w:val="19"/>
              </w:rPr>
              <w:t>五女山开发区南江园区健康集团停车场</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6</w:t>
            </w:r>
          </w:p>
        </w:tc>
        <w:tc>
          <w:tcPr>
            <w:tcW w:w="872" w:type="dxa"/>
            <w:shd w:val="clear" w:color="auto" w:fill="auto"/>
            <w:noWrap/>
            <w:vAlign w:val="center"/>
          </w:tcPr>
          <w:p>
            <w:pPr>
              <w:spacing w:line="240" w:lineRule="auto"/>
              <w:jc w:val="center"/>
              <w:rPr>
                <w:rFonts w:hint="eastAsia"/>
                <w:sz w:val="19"/>
              </w:rPr>
            </w:pPr>
          </w:p>
        </w:tc>
        <w:tc>
          <w:tcPr>
            <w:tcW w:w="801" w:type="dxa"/>
            <w:shd w:val="clear" w:color="auto" w:fill="auto"/>
            <w:noWrap/>
            <w:vAlign w:val="center"/>
          </w:tcPr>
          <w:p>
            <w:pPr>
              <w:spacing w:line="240" w:lineRule="auto"/>
              <w:jc w:val="center"/>
              <w:rPr>
                <w:rFonts w:hint="eastAsia"/>
                <w:sz w:val="19"/>
              </w:rPr>
            </w:pPr>
            <w:r>
              <w:rPr>
                <w:rFonts w:hint="eastAsia"/>
                <w:sz w:val="19"/>
              </w:rPr>
              <w:t>2026</w:t>
            </w:r>
          </w:p>
        </w:tc>
        <w:tc>
          <w:tcPr>
            <w:tcW w:w="752" w:type="dxa"/>
            <w:shd w:val="clear" w:color="auto" w:fill="auto"/>
            <w:noWrap/>
            <w:vAlign w:val="center"/>
          </w:tcPr>
          <w:p>
            <w:pPr>
              <w:spacing w:line="240" w:lineRule="auto"/>
              <w:jc w:val="center"/>
              <w:rPr>
                <w:rFonts w:hint="eastAsia"/>
                <w:sz w:val="19"/>
              </w:rPr>
            </w:pPr>
            <w:r>
              <w:rPr>
                <w:rFonts w:hint="eastAsia"/>
                <w:sz w:val="19"/>
              </w:rPr>
              <w:t>125.3194631</w:t>
            </w:r>
          </w:p>
        </w:tc>
        <w:tc>
          <w:tcPr>
            <w:tcW w:w="752" w:type="dxa"/>
            <w:shd w:val="clear" w:color="auto" w:fill="auto"/>
            <w:noWrap/>
            <w:vAlign w:val="center"/>
          </w:tcPr>
          <w:p>
            <w:pPr>
              <w:spacing w:line="240" w:lineRule="auto"/>
              <w:jc w:val="center"/>
              <w:rPr>
                <w:rFonts w:hint="eastAsia"/>
                <w:sz w:val="19"/>
              </w:rPr>
            </w:pPr>
            <w:r>
              <w:rPr>
                <w:rFonts w:hint="eastAsia"/>
                <w:sz w:val="19"/>
              </w:rPr>
              <w:t>41.22016323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104</w:t>
            </w:r>
          </w:p>
        </w:tc>
        <w:tc>
          <w:tcPr>
            <w:tcW w:w="3575" w:type="dxa"/>
            <w:shd w:val="clear" w:color="auto" w:fill="auto"/>
            <w:noWrap/>
            <w:vAlign w:val="center"/>
          </w:tcPr>
          <w:p>
            <w:pPr>
              <w:spacing w:line="240" w:lineRule="auto"/>
              <w:jc w:val="center"/>
              <w:rPr>
                <w:rFonts w:hint="eastAsia"/>
                <w:sz w:val="19"/>
              </w:rPr>
            </w:pPr>
            <w:r>
              <w:rPr>
                <w:rFonts w:hint="eastAsia"/>
                <w:sz w:val="19"/>
              </w:rPr>
              <w:t>桓仁满族自治县医院</w:t>
            </w:r>
          </w:p>
        </w:tc>
        <w:tc>
          <w:tcPr>
            <w:tcW w:w="4505" w:type="dxa"/>
            <w:shd w:val="clear" w:color="auto" w:fill="auto"/>
            <w:noWrap/>
            <w:vAlign w:val="center"/>
          </w:tcPr>
          <w:p>
            <w:pPr>
              <w:spacing w:line="240" w:lineRule="auto"/>
              <w:jc w:val="center"/>
              <w:rPr>
                <w:rFonts w:hint="eastAsia"/>
                <w:sz w:val="19"/>
              </w:rPr>
            </w:pPr>
            <w:r>
              <w:rPr>
                <w:rFonts w:hint="eastAsia"/>
                <w:sz w:val="19"/>
              </w:rPr>
              <w:t>桓仁镇长江大街66号</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5</w:t>
            </w:r>
          </w:p>
        </w:tc>
        <w:tc>
          <w:tcPr>
            <w:tcW w:w="872" w:type="dxa"/>
            <w:shd w:val="clear" w:color="auto" w:fill="auto"/>
            <w:noWrap/>
            <w:vAlign w:val="center"/>
          </w:tcPr>
          <w:p>
            <w:pPr>
              <w:spacing w:line="240" w:lineRule="auto"/>
              <w:jc w:val="center"/>
              <w:rPr>
                <w:rFonts w:hint="eastAsia"/>
                <w:sz w:val="19"/>
              </w:rPr>
            </w:pPr>
            <w:r>
              <w:rPr>
                <w:rFonts w:hint="eastAsia"/>
                <w:sz w:val="19"/>
              </w:rPr>
              <w:t>10</w:t>
            </w:r>
          </w:p>
        </w:tc>
        <w:tc>
          <w:tcPr>
            <w:tcW w:w="801" w:type="dxa"/>
            <w:shd w:val="clear" w:color="auto" w:fill="auto"/>
            <w:noWrap/>
            <w:vAlign w:val="center"/>
          </w:tcPr>
          <w:p>
            <w:pPr>
              <w:spacing w:line="240" w:lineRule="auto"/>
              <w:jc w:val="center"/>
              <w:rPr>
                <w:rFonts w:hint="eastAsia"/>
                <w:sz w:val="19"/>
              </w:rPr>
            </w:pPr>
          </w:p>
        </w:tc>
        <w:tc>
          <w:tcPr>
            <w:tcW w:w="752" w:type="dxa"/>
            <w:shd w:val="clear" w:color="auto" w:fill="auto"/>
            <w:noWrap/>
            <w:vAlign w:val="center"/>
          </w:tcPr>
          <w:p>
            <w:pPr>
              <w:spacing w:line="240" w:lineRule="auto"/>
              <w:jc w:val="center"/>
              <w:rPr>
                <w:rFonts w:hint="eastAsia"/>
                <w:sz w:val="19"/>
              </w:rPr>
            </w:pPr>
            <w:r>
              <w:rPr>
                <w:rFonts w:hint="eastAsia"/>
                <w:sz w:val="19"/>
              </w:rPr>
              <w:t>125.3417248</w:t>
            </w:r>
          </w:p>
        </w:tc>
        <w:tc>
          <w:tcPr>
            <w:tcW w:w="752" w:type="dxa"/>
            <w:shd w:val="clear" w:color="auto" w:fill="auto"/>
            <w:noWrap/>
            <w:vAlign w:val="center"/>
          </w:tcPr>
          <w:p>
            <w:pPr>
              <w:spacing w:line="240" w:lineRule="auto"/>
              <w:jc w:val="center"/>
              <w:rPr>
                <w:rFonts w:hint="eastAsia"/>
                <w:sz w:val="19"/>
              </w:rPr>
            </w:pPr>
            <w:r>
              <w:rPr>
                <w:rFonts w:hint="eastAsia"/>
                <w:sz w:val="19"/>
              </w:rPr>
              <w:t>41.26839232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105</w:t>
            </w:r>
          </w:p>
        </w:tc>
        <w:tc>
          <w:tcPr>
            <w:tcW w:w="3575" w:type="dxa"/>
            <w:shd w:val="clear" w:color="auto" w:fill="auto"/>
            <w:noWrap/>
            <w:vAlign w:val="center"/>
          </w:tcPr>
          <w:p>
            <w:pPr>
              <w:spacing w:line="240" w:lineRule="auto"/>
              <w:jc w:val="center"/>
              <w:rPr>
                <w:rFonts w:hint="eastAsia"/>
                <w:sz w:val="19"/>
              </w:rPr>
            </w:pPr>
            <w:r>
              <w:rPr>
                <w:rFonts w:hint="eastAsia"/>
                <w:sz w:val="19"/>
              </w:rPr>
              <w:t>桓仁满族自治县政府广场门前</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桓仁满族自治县海河街1号</w:t>
            </w:r>
          </w:p>
        </w:tc>
        <w:tc>
          <w:tcPr>
            <w:tcW w:w="851" w:type="dxa"/>
            <w:shd w:val="clear" w:color="auto" w:fill="auto"/>
            <w:noWrap/>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4</w:t>
            </w:r>
          </w:p>
        </w:tc>
        <w:tc>
          <w:tcPr>
            <w:tcW w:w="801" w:type="dxa"/>
            <w:shd w:val="clear" w:color="auto" w:fill="auto"/>
            <w:noWrap/>
            <w:vAlign w:val="center"/>
          </w:tcPr>
          <w:p>
            <w:pPr>
              <w:spacing w:line="240" w:lineRule="auto"/>
              <w:jc w:val="center"/>
              <w:rPr>
                <w:rFonts w:hint="eastAsia"/>
                <w:sz w:val="19"/>
              </w:rPr>
            </w:pPr>
          </w:p>
        </w:tc>
        <w:tc>
          <w:tcPr>
            <w:tcW w:w="752" w:type="dxa"/>
            <w:shd w:val="clear" w:color="auto" w:fill="auto"/>
            <w:noWrap/>
            <w:vAlign w:val="center"/>
          </w:tcPr>
          <w:p>
            <w:pPr>
              <w:spacing w:line="240" w:lineRule="auto"/>
              <w:jc w:val="center"/>
              <w:rPr>
                <w:rFonts w:hint="eastAsia"/>
                <w:sz w:val="19"/>
              </w:rPr>
            </w:pPr>
            <w:r>
              <w:rPr>
                <w:rFonts w:hint="eastAsia"/>
                <w:sz w:val="19"/>
              </w:rPr>
              <w:t>125.3545672</w:t>
            </w:r>
          </w:p>
        </w:tc>
        <w:tc>
          <w:tcPr>
            <w:tcW w:w="752" w:type="dxa"/>
            <w:shd w:val="clear" w:color="auto" w:fill="auto"/>
            <w:noWrap/>
            <w:vAlign w:val="center"/>
          </w:tcPr>
          <w:p>
            <w:pPr>
              <w:spacing w:line="240" w:lineRule="auto"/>
              <w:jc w:val="center"/>
              <w:rPr>
                <w:rFonts w:hint="eastAsia"/>
                <w:sz w:val="19"/>
              </w:rPr>
            </w:pPr>
            <w:r>
              <w:rPr>
                <w:rFonts w:hint="eastAsia"/>
                <w:sz w:val="19"/>
              </w:rPr>
              <w:t>41.26472305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106</w:t>
            </w:r>
          </w:p>
        </w:tc>
        <w:tc>
          <w:tcPr>
            <w:tcW w:w="3575" w:type="dxa"/>
            <w:shd w:val="clear" w:color="auto" w:fill="auto"/>
            <w:noWrap/>
            <w:vAlign w:val="center"/>
          </w:tcPr>
          <w:p>
            <w:pPr>
              <w:spacing w:line="240" w:lineRule="auto"/>
              <w:jc w:val="center"/>
              <w:rPr>
                <w:rFonts w:hint="eastAsia"/>
                <w:sz w:val="19"/>
              </w:rPr>
            </w:pPr>
            <w:r>
              <w:rPr>
                <w:rFonts w:hint="eastAsia"/>
                <w:sz w:val="19"/>
              </w:rPr>
              <w:t>华来镇政府</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桓仁满族自治县木通线与光复路交叉路口往南</w:t>
            </w:r>
          </w:p>
        </w:tc>
        <w:tc>
          <w:tcPr>
            <w:tcW w:w="851" w:type="dxa"/>
            <w:shd w:val="clear" w:color="auto" w:fill="auto"/>
            <w:noWrap/>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4</w:t>
            </w:r>
          </w:p>
        </w:tc>
        <w:tc>
          <w:tcPr>
            <w:tcW w:w="801" w:type="dxa"/>
            <w:shd w:val="clear" w:color="auto" w:fill="auto"/>
            <w:noWrap/>
            <w:vAlign w:val="center"/>
          </w:tcPr>
          <w:p>
            <w:pPr>
              <w:spacing w:line="240" w:lineRule="auto"/>
              <w:jc w:val="center"/>
              <w:rPr>
                <w:rFonts w:hint="eastAsia"/>
                <w:sz w:val="19"/>
              </w:rPr>
            </w:pPr>
          </w:p>
        </w:tc>
        <w:tc>
          <w:tcPr>
            <w:tcW w:w="752" w:type="dxa"/>
            <w:shd w:val="clear" w:color="auto" w:fill="auto"/>
            <w:noWrap/>
            <w:vAlign w:val="center"/>
          </w:tcPr>
          <w:p>
            <w:pPr>
              <w:spacing w:line="240" w:lineRule="auto"/>
              <w:jc w:val="center"/>
              <w:rPr>
                <w:rFonts w:hint="eastAsia"/>
                <w:sz w:val="19"/>
              </w:rPr>
            </w:pPr>
            <w:r>
              <w:rPr>
                <w:rFonts w:hint="eastAsia"/>
                <w:sz w:val="19"/>
              </w:rPr>
              <w:t>125.110458</w:t>
            </w:r>
          </w:p>
        </w:tc>
        <w:tc>
          <w:tcPr>
            <w:tcW w:w="752" w:type="dxa"/>
            <w:shd w:val="clear" w:color="auto" w:fill="auto"/>
            <w:noWrap/>
            <w:vAlign w:val="center"/>
          </w:tcPr>
          <w:p>
            <w:pPr>
              <w:spacing w:line="240" w:lineRule="auto"/>
              <w:jc w:val="center"/>
              <w:rPr>
                <w:rFonts w:hint="eastAsia"/>
                <w:sz w:val="19"/>
              </w:rPr>
            </w:pPr>
            <w:r>
              <w:rPr>
                <w:rFonts w:hint="eastAsia"/>
                <w:sz w:val="19"/>
              </w:rPr>
              <w:t>41.36992305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107</w:t>
            </w:r>
          </w:p>
        </w:tc>
        <w:tc>
          <w:tcPr>
            <w:tcW w:w="3575" w:type="dxa"/>
            <w:shd w:val="clear" w:color="auto" w:fill="auto"/>
            <w:noWrap/>
            <w:vAlign w:val="center"/>
          </w:tcPr>
          <w:p>
            <w:pPr>
              <w:spacing w:line="240" w:lineRule="auto"/>
              <w:jc w:val="center"/>
              <w:rPr>
                <w:rFonts w:hint="eastAsia"/>
                <w:sz w:val="19"/>
              </w:rPr>
            </w:pPr>
            <w:r>
              <w:rPr>
                <w:rFonts w:hint="eastAsia"/>
                <w:sz w:val="19"/>
              </w:rPr>
              <w:t>黑沟乡政府广场</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桓仁满族自治县政府路158-1号</w:t>
            </w:r>
          </w:p>
        </w:tc>
        <w:tc>
          <w:tcPr>
            <w:tcW w:w="851" w:type="dxa"/>
            <w:shd w:val="clear" w:color="auto" w:fill="auto"/>
            <w:noWrap/>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4</w:t>
            </w:r>
          </w:p>
        </w:tc>
        <w:tc>
          <w:tcPr>
            <w:tcW w:w="801" w:type="dxa"/>
            <w:shd w:val="clear" w:color="auto" w:fill="auto"/>
            <w:noWrap/>
            <w:vAlign w:val="center"/>
          </w:tcPr>
          <w:p>
            <w:pPr>
              <w:spacing w:line="240" w:lineRule="auto"/>
              <w:jc w:val="center"/>
              <w:rPr>
                <w:rFonts w:hint="eastAsia"/>
                <w:sz w:val="19"/>
              </w:rPr>
            </w:pPr>
          </w:p>
        </w:tc>
        <w:tc>
          <w:tcPr>
            <w:tcW w:w="752" w:type="dxa"/>
            <w:shd w:val="clear" w:color="auto" w:fill="auto"/>
            <w:noWrap/>
            <w:vAlign w:val="center"/>
          </w:tcPr>
          <w:p>
            <w:pPr>
              <w:spacing w:line="240" w:lineRule="auto"/>
              <w:jc w:val="center"/>
              <w:rPr>
                <w:rFonts w:hint="eastAsia"/>
                <w:sz w:val="19"/>
              </w:rPr>
            </w:pPr>
            <w:r>
              <w:rPr>
                <w:rFonts w:hint="eastAsia"/>
                <w:sz w:val="19"/>
              </w:rPr>
              <w:t>125.3716362</w:t>
            </w:r>
          </w:p>
        </w:tc>
        <w:tc>
          <w:tcPr>
            <w:tcW w:w="752" w:type="dxa"/>
            <w:shd w:val="clear" w:color="auto" w:fill="auto"/>
            <w:noWrap/>
            <w:vAlign w:val="center"/>
          </w:tcPr>
          <w:p>
            <w:pPr>
              <w:spacing w:line="240" w:lineRule="auto"/>
              <w:jc w:val="center"/>
              <w:rPr>
                <w:rFonts w:hint="eastAsia"/>
                <w:sz w:val="19"/>
              </w:rPr>
            </w:pPr>
            <w:r>
              <w:rPr>
                <w:rFonts w:hint="eastAsia"/>
                <w:sz w:val="19"/>
              </w:rPr>
              <w:t>41.38302074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108</w:t>
            </w:r>
          </w:p>
        </w:tc>
        <w:tc>
          <w:tcPr>
            <w:tcW w:w="3575" w:type="dxa"/>
            <w:shd w:val="clear" w:color="auto" w:fill="auto"/>
            <w:noWrap/>
            <w:vAlign w:val="center"/>
          </w:tcPr>
          <w:p>
            <w:pPr>
              <w:spacing w:line="240" w:lineRule="auto"/>
              <w:jc w:val="center"/>
              <w:rPr>
                <w:rFonts w:hint="eastAsia"/>
                <w:sz w:val="19"/>
              </w:rPr>
            </w:pPr>
            <w:r>
              <w:rPr>
                <w:rFonts w:hint="eastAsia"/>
                <w:sz w:val="19"/>
              </w:rPr>
              <w:t>北甸子乡人民政府广场</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桓仁满族自治县友谊大街24号</w:t>
            </w:r>
          </w:p>
        </w:tc>
        <w:tc>
          <w:tcPr>
            <w:tcW w:w="851" w:type="dxa"/>
            <w:shd w:val="clear" w:color="auto" w:fill="auto"/>
            <w:noWrap/>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4</w:t>
            </w:r>
          </w:p>
        </w:tc>
        <w:tc>
          <w:tcPr>
            <w:tcW w:w="801" w:type="dxa"/>
            <w:shd w:val="clear" w:color="auto" w:fill="auto"/>
            <w:noWrap/>
            <w:vAlign w:val="center"/>
          </w:tcPr>
          <w:p>
            <w:pPr>
              <w:spacing w:line="240" w:lineRule="auto"/>
              <w:jc w:val="center"/>
              <w:rPr>
                <w:rFonts w:hint="eastAsia"/>
                <w:sz w:val="19"/>
              </w:rPr>
            </w:pPr>
          </w:p>
        </w:tc>
        <w:tc>
          <w:tcPr>
            <w:tcW w:w="752" w:type="dxa"/>
            <w:shd w:val="clear" w:color="auto" w:fill="auto"/>
            <w:noWrap/>
            <w:vAlign w:val="center"/>
          </w:tcPr>
          <w:p>
            <w:pPr>
              <w:spacing w:line="240" w:lineRule="auto"/>
              <w:jc w:val="center"/>
              <w:rPr>
                <w:rFonts w:hint="eastAsia"/>
                <w:sz w:val="19"/>
              </w:rPr>
            </w:pPr>
            <w:r>
              <w:rPr>
                <w:rFonts w:hint="eastAsia"/>
                <w:sz w:val="19"/>
              </w:rPr>
              <w:t>125.5531777</w:t>
            </w:r>
          </w:p>
        </w:tc>
        <w:tc>
          <w:tcPr>
            <w:tcW w:w="752" w:type="dxa"/>
            <w:shd w:val="clear" w:color="auto" w:fill="auto"/>
            <w:noWrap/>
            <w:vAlign w:val="center"/>
          </w:tcPr>
          <w:p>
            <w:pPr>
              <w:spacing w:line="240" w:lineRule="auto"/>
              <w:jc w:val="center"/>
              <w:rPr>
                <w:rFonts w:hint="eastAsia"/>
                <w:sz w:val="19"/>
              </w:rPr>
            </w:pPr>
            <w:r>
              <w:rPr>
                <w:rFonts w:hint="eastAsia"/>
                <w:sz w:val="19"/>
              </w:rPr>
              <w:t>41.36247087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109</w:t>
            </w:r>
          </w:p>
        </w:tc>
        <w:tc>
          <w:tcPr>
            <w:tcW w:w="3575" w:type="dxa"/>
            <w:shd w:val="clear" w:color="auto" w:fill="auto"/>
            <w:noWrap/>
            <w:vAlign w:val="center"/>
          </w:tcPr>
          <w:p>
            <w:pPr>
              <w:spacing w:line="240" w:lineRule="auto"/>
              <w:jc w:val="center"/>
              <w:rPr>
                <w:rFonts w:hint="eastAsia"/>
                <w:sz w:val="19"/>
              </w:rPr>
            </w:pPr>
            <w:r>
              <w:rPr>
                <w:rFonts w:hint="eastAsia"/>
                <w:sz w:val="19"/>
              </w:rPr>
              <w:t>普乐堡镇政府广场</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桓仁满族自治县普乐堡镇大雅河中街40号</w:t>
            </w:r>
          </w:p>
        </w:tc>
        <w:tc>
          <w:tcPr>
            <w:tcW w:w="851" w:type="dxa"/>
            <w:shd w:val="clear" w:color="auto" w:fill="auto"/>
            <w:noWrap/>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4</w:t>
            </w:r>
          </w:p>
        </w:tc>
        <w:tc>
          <w:tcPr>
            <w:tcW w:w="801" w:type="dxa"/>
            <w:shd w:val="clear" w:color="auto" w:fill="auto"/>
            <w:noWrap/>
            <w:vAlign w:val="center"/>
          </w:tcPr>
          <w:p>
            <w:pPr>
              <w:spacing w:line="240" w:lineRule="auto"/>
              <w:jc w:val="center"/>
              <w:rPr>
                <w:rFonts w:hint="eastAsia"/>
                <w:sz w:val="19"/>
              </w:rPr>
            </w:pPr>
          </w:p>
        </w:tc>
        <w:tc>
          <w:tcPr>
            <w:tcW w:w="752" w:type="dxa"/>
            <w:shd w:val="clear" w:color="auto" w:fill="auto"/>
            <w:noWrap/>
            <w:vAlign w:val="center"/>
          </w:tcPr>
          <w:p>
            <w:pPr>
              <w:spacing w:line="240" w:lineRule="auto"/>
              <w:jc w:val="center"/>
              <w:rPr>
                <w:rFonts w:hint="eastAsia"/>
                <w:sz w:val="19"/>
              </w:rPr>
            </w:pPr>
            <w:r>
              <w:rPr>
                <w:rFonts w:hint="eastAsia"/>
                <w:sz w:val="19"/>
              </w:rPr>
              <w:t>125.1636283</w:t>
            </w:r>
          </w:p>
        </w:tc>
        <w:tc>
          <w:tcPr>
            <w:tcW w:w="752" w:type="dxa"/>
            <w:shd w:val="clear" w:color="auto" w:fill="auto"/>
            <w:noWrap/>
            <w:vAlign w:val="center"/>
          </w:tcPr>
          <w:p>
            <w:pPr>
              <w:spacing w:line="240" w:lineRule="auto"/>
              <w:jc w:val="center"/>
              <w:rPr>
                <w:rFonts w:hint="eastAsia"/>
                <w:sz w:val="19"/>
              </w:rPr>
            </w:pPr>
            <w:r>
              <w:rPr>
                <w:rFonts w:hint="eastAsia"/>
                <w:sz w:val="19"/>
              </w:rPr>
              <w:t>41.18042742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110</w:t>
            </w:r>
          </w:p>
        </w:tc>
        <w:tc>
          <w:tcPr>
            <w:tcW w:w="3575" w:type="dxa"/>
            <w:shd w:val="clear" w:color="auto" w:fill="auto"/>
            <w:noWrap/>
            <w:vAlign w:val="center"/>
          </w:tcPr>
          <w:p>
            <w:pPr>
              <w:spacing w:line="240" w:lineRule="auto"/>
              <w:jc w:val="center"/>
              <w:rPr>
                <w:rFonts w:hint="eastAsia"/>
                <w:sz w:val="19"/>
              </w:rPr>
            </w:pPr>
            <w:r>
              <w:rPr>
                <w:rFonts w:hint="eastAsia"/>
                <w:sz w:val="19"/>
              </w:rPr>
              <w:t>向阳乡政府停车场</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桓仁满族自治县凤向线</w:t>
            </w:r>
          </w:p>
        </w:tc>
        <w:tc>
          <w:tcPr>
            <w:tcW w:w="851" w:type="dxa"/>
            <w:shd w:val="clear" w:color="auto" w:fill="auto"/>
            <w:noWrap/>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4</w:t>
            </w:r>
          </w:p>
        </w:tc>
        <w:tc>
          <w:tcPr>
            <w:tcW w:w="801" w:type="dxa"/>
            <w:shd w:val="clear" w:color="auto" w:fill="auto"/>
            <w:noWrap/>
            <w:vAlign w:val="center"/>
          </w:tcPr>
          <w:p>
            <w:pPr>
              <w:spacing w:line="240" w:lineRule="auto"/>
              <w:jc w:val="center"/>
              <w:rPr>
                <w:rFonts w:hint="eastAsia"/>
                <w:sz w:val="19"/>
              </w:rPr>
            </w:pPr>
          </w:p>
        </w:tc>
        <w:tc>
          <w:tcPr>
            <w:tcW w:w="752" w:type="dxa"/>
            <w:shd w:val="clear" w:color="auto" w:fill="auto"/>
            <w:noWrap/>
            <w:vAlign w:val="center"/>
          </w:tcPr>
          <w:p>
            <w:pPr>
              <w:spacing w:line="240" w:lineRule="auto"/>
              <w:jc w:val="center"/>
              <w:rPr>
                <w:rFonts w:hint="eastAsia"/>
                <w:sz w:val="19"/>
              </w:rPr>
            </w:pPr>
            <w:r>
              <w:rPr>
                <w:rFonts w:hint="eastAsia"/>
                <w:sz w:val="19"/>
              </w:rPr>
              <w:t>125.3748673</w:t>
            </w:r>
          </w:p>
        </w:tc>
        <w:tc>
          <w:tcPr>
            <w:tcW w:w="752" w:type="dxa"/>
            <w:shd w:val="clear" w:color="auto" w:fill="auto"/>
            <w:noWrap/>
            <w:vAlign w:val="center"/>
          </w:tcPr>
          <w:p>
            <w:pPr>
              <w:spacing w:line="240" w:lineRule="auto"/>
              <w:jc w:val="center"/>
              <w:rPr>
                <w:rFonts w:hint="eastAsia"/>
                <w:sz w:val="19"/>
              </w:rPr>
            </w:pPr>
            <w:r>
              <w:rPr>
                <w:rFonts w:hint="eastAsia"/>
                <w:sz w:val="19"/>
              </w:rPr>
              <w:t>41.10343155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111</w:t>
            </w:r>
          </w:p>
        </w:tc>
        <w:tc>
          <w:tcPr>
            <w:tcW w:w="3575" w:type="dxa"/>
            <w:shd w:val="clear" w:color="auto" w:fill="auto"/>
            <w:noWrap/>
            <w:vAlign w:val="center"/>
          </w:tcPr>
          <w:p>
            <w:pPr>
              <w:spacing w:line="240" w:lineRule="auto"/>
              <w:jc w:val="center"/>
              <w:rPr>
                <w:rFonts w:hint="eastAsia"/>
                <w:sz w:val="19"/>
              </w:rPr>
            </w:pPr>
            <w:r>
              <w:rPr>
                <w:rFonts w:hint="eastAsia"/>
                <w:sz w:val="19"/>
              </w:rPr>
              <w:t>二棚甸子学校</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桓仁满族自治县G506</w:t>
            </w:r>
          </w:p>
        </w:tc>
        <w:tc>
          <w:tcPr>
            <w:tcW w:w="851" w:type="dxa"/>
            <w:shd w:val="clear" w:color="auto" w:fill="auto"/>
            <w:noWrap/>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w:t>
            </w:r>
          </w:p>
        </w:tc>
        <w:tc>
          <w:tcPr>
            <w:tcW w:w="872" w:type="dxa"/>
            <w:shd w:val="clear" w:color="auto" w:fill="auto"/>
            <w:noWrap/>
            <w:vAlign w:val="center"/>
          </w:tcPr>
          <w:p>
            <w:pPr>
              <w:spacing w:line="240" w:lineRule="auto"/>
              <w:jc w:val="center"/>
              <w:rPr>
                <w:rFonts w:hint="eastAsia"/>
                <w:sz w:val="19"/>
              </w:rPr>
            </w:pPr>
            <w:r>
              <w:rPr>
                <w:rFonts w:hint="eastAsia"/>
                <w:sz w:val="19"/>
              </w:rPr>
              <w:t>2</w:t>
            </w:r>
          </w:p>
        </w:tc>
        <w:tc>
          <w:tcPr>
            <w:tcW w:w="801" w:type="dxa"/>
            <w:shd w:val="clear" w:color="auto" w:fill="auto"/>
            <w:noWrap/>
            <w:vAlign w:val="center"/>
          </w:tcPr>
          <w:p>
            <w:pPr>
              <w:spacing w:line="240" w:lineRule="auto"/>
              <w:jc w:val="center"/>
              <w:rPr>
                <w:rFonts w:hint="eastAsia"/>
                <w:sz w:val="19"/>
              </w:rPr>
            </w:pPr>
          </w:p>
        </w:tc>
        <w:tc>
          <w:tcPr>
            <w:tcW w:w="752" w:type="dxa"/>
            <w:shd w:val="clear" w:color="auto" w:fill="auto"/>
            <w:noWrap/>
            <w:vAlign w:val="center"/>
          </w:tcPr>
          <w:p>
            <w:pPr>
              <w:spacing w:line="240" w:lineRule="auto"/>
              <w:jc w:val="center"/>
              <w:rPr>
                <w:rFonts w:hint="eastAsia"/>
                <w:sz w:val="19"/>
              </w:rPr>
            </w:pPr>
            <w:r>
              <w:rPr>
                <w:rFonts w:hint="eastAsia"/>
                <w:sz w:val="19"/>
              </w:rPr>
              <w:t>125.4956567</w:t>
            </w:r>
          </w:p>
        </w:tc>
        <w:tc>
          <w:tcPr>
            <w:tcW w:w="752" w:type="dxa"/>
            <w:shd w:val="clear" w:color="auto" w:fill="auto"/>
            <w:noWrap/>
            <w:vAlign w:val="center"/>
          </w:tcPr>
          <w:p>
            <w:pPr>
              <w:spacing w:line="240" w:lineRule="auto"/>
              <w:jc w:val="center"/>
              <w:rPr>
                <w:rFonts w:hint="eastAsia"/>
                <w:sz w:val="19"/>
              </w:rPr>
            </w:pPr>
            <w:r>
              <w:rPr>
                <w:rFonts w:hint="eastAsia"/>
                <w:sz w:val="19"/>
              </w:rPr>
              <w:t>41.17110325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112</w:t>
            </w:r>
          </w:p>
        </w:tc>
        <w:tc>
          <w:tcPr>
            <w:tcW w:w="3575" w:type="dxa"/>
            <w:shd w:val="clear" w:color="auto" w:fill="auto"/>
            <w:noWrap/>
            <w:vAlign w:val="center"/>
          </w:tcPr>
          <w:p>
            <w:pPr>
              <w:spacing w:line="240" w:lineRule="auto"/>
              <w:jc w:val="center"/>
              <w:rPr>
                <w:rFonts w:hint="eastAsia"/>
                <w:sz w:val="19"/>
              </w:rPr>
            </w:pPr>
            <w:r>
              <w:rPr>
                <w:rFonts w:hint="eastAsia"/>
                <w:sz w:val="19"/>
              </w:rPr>
              <w:t>古城镇政府</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桓仁满族自治县新府路14号</w:t>
            </w:r>
          </w:p>
        </w:tc>
        <w:tc>
          <w:tcPr>
            <w:tcW w:w="851" w:type="dxa"/>
            <w:shd w:val="clear" w:color="auto" w:fill="auto"/>
            <w:noWrap/>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4</w:t>
            </w:r>
          </w:p>
        </w:tc>
        <w:tc>
          <w:tcPr>
            <w:tcW w:w="801" w:type="dxa"/>
            <w:shd w:val="clear" w:color="auto" w:fill="auto"/>
            <w:noWrap/>
            <w:vAlign w:val="center"/>
          </w:tcPr>
          <w:p>
            <w:pPr>
              <w:spacing w:line="240" w:lineRule="auto"/>
              <w:jc w:val="center"/>
              <w:rPr>
                <w:rFonts w:hint="eastAsia"/>
                <w:sz w:val="19"/>
              </w:rPr>
            </w:pPr>
          </w:p>
        </w:tc>
        <w:tc>
          <w:tcPr>
            <w:tcW w:w="752" w:type="dxa"/>
            <w:shd w:val="clear" w:color="auto" w:fill="auto"/>
            <w:noWrap/>
            <w:vAlign w:val="center"/>
          </w:tcPr>
          <w:p>
            <w:pPr>
              <w:spacing w:line="240" w:lineRule="auto"/>
              <w:jc w:val="center"/>
              <w:rPr>
                <w:rFonts w:hint="eastAsia"/>
                <w:sz w:val="19"/>
              </w:rPr>
            </w:pPr>
            <w:r>
              <w:rPr>
                <w:rFonts w:hint="eastAsia"/>
                <w:sz w:val="19"/>
              </w:rPr>
              <w:t>125.4603642</w:t>
            </w:r>
          </w:p>
        </w:tc>
        <w:tc>
          <w:tcPr>
            <w:tcW w:w="752" w:type="dxa"/>
            <w:shd w:val="clear" w:color="auto" w:fill="auto"/>
            <w:noWrap/>
            <w:vAlign w:val="center"/>
          </w:tcPr>
          <w:p>
            <w:pPr>
              <w:spacing w:line="240" w:lineRule="auto"/>
              <w:jc w:val="center"/>
              <w:rPr>
                <w:rFonts w:hint="eastAsia"/>
                <w:sz w:val="19"/>
              </w:rPr>
            </w:pPr>
            <w:r>
              <w:rPr>
                <w:rFonts w:hint="eastAsia"/>
                <w:sz w:val="19"/>
              </w:rPr>
              <w:t>41.47678557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113</w:t>
            </w:r>
          </w:p>
        </w:tc>
        <w:tc>
          <w:tcPr>
            <w:tcW w:w="3575" w:type="dxa"/>
            <w:shd w:val="clear" w:color="auto" w:fill="auto"/>
            <w:noWrap/>
            <w:vAlign w:val="center"/>
          </w:tcPr>
          <w:p>
            <w:pPr>
              <w:spacing w:line="240" w:lineRule="auto"/>
              <w:jc w:val="center"/>
              <w:rPr>
                <w:rFonts w:hint="eastAsia"/>
                <w:sz w:val="19"/>
              </w:rPr>
            </w:pPr>
            <w:r>
              <w:rPr>
                <w:rFonts w:hint="eastAsia"/>
                <w:sz w:val="19"/>
              </w:rPr>
              <w:t>八里甸子镇政府</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桓仁满族自治县八里甸子镇八里甸村</w:t>
            </w:r>
          </w:p>
        </w:tc>
        <w:tc>
          <w:tcPr>
            <w:tcW w:w="851" w:type="dxa"/>
            <w:shd w:val="clear" w:color="auto" w:fill="auto"/>
            <w:noWrap/>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4</w:t>
            </w:r>
          </w:p>
        </w:tc>
        <w:tc>
          <w:tcPr>
            <w:tcW w:w="801" w:type="dxa"/>
            <w:shd w:val="clear" w:color="auto" w:fill="auto"/>
            <w:noWrap/>
            <w:vAlign w:val="center"/>
          </w:tcPr>
          <w:p>
            <w:pPr>
              <w:spacing w:line="240" w:lineRule="auto"/>
              <w:jc w:val="center"/>
              <w:rPr>
                <w:rFonts w:hint="eastAsia"/>
                <w:sz w:val="19"/>
              </w:rPr>
            </w:pPr>
          </w:p>
        </w:tc>
        <w:tc>
          <w:tcPr>
            <w:tcW w:w="752" w:type="dxa"/>
            <w:shd w:val="clear" w:color="auto" w:fill="auto"/>
            <w:noWrap/>
            <w:vAlign w:val="center"/>
          </w:tcPr>
          <w:p>
            <w:pPr>
              <w:spacing w:line="240" w:lineRule="auto"/>
              <w:jc w:val="center"/>
              <w:rPr>
                <w:rFonts w:hint="eastAsia"/>
                <w:sz w:val="19"/>
              </w:rPr>
            </w:pPr>
            <w:r>
              <w:rPr>
                <w:rFonts w:hint="eastAsia"/>
                <w:sz w:val="19"/>
              </w:rPr>
              <w:t>124.8863447</w:t>
            </w:r>
          </w:p>
        </w:tc>
        <w:tc>
          <w:tcPr>
            <w:tcW w:w="752" w:type="dxa"/>
            <w:shd w:val="clear" w:color="auto" w:fill="auto"/>
            <w:noWrap/>
            <w:vAlign w:val="center"/>
          </w:tcPr>
          <w:p>
            <w:pPr>
              <w:spacing w:line="240" w:lineRule="auto"/>
              <w:jc w:val="center"/>
              <w:rPr>
                <w:rFonts w:hint="eastAsia"/>
                <w:sz w:val="19"/>
              </w:rPr>
            </w:pPr>
            <w:r>
              <w:rPr>
                <w:rFonts w:hint="eastAsia"/>
                <w:sz w:val="19"/>
              </w:rPr>
              <w:t>41.23892753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114</w:t>
            </w:r>
          </w:p>
        </w:tc>
        <w:tc>
          <w:tcPr>
            <w:tcW w:w="3575" w:type="dxa"/>
            <w:shd w:val="clear" w:color="auto" w:fill="auto"/>
            <w:noWrap/>
            <w:vAlign w:val="center"/>
          </w:tcPr>
          <w:p>
            <w:pPr>
              <w:spacing w:line="240" w:lineRule="auto"/>
              <w:jc w:val="center"/>
              <w:rPr>
                <w:rFonts w:hint="eastAsia"/>
                <w:sz w:val="19"/>
              </w:rPr>
            </w:pPr>
            <w:r>
              <w:rPr>
                <w:rFonts w:hint="eastAsia"/>
                <w:sz w:val="19"/>
              </w:rPr>
              <w:t>二棚甸子镇政府</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桓仁满族自治县东风路41号</w:t>
            </w:r>
          </w:p>
        </w:tc>
        <w:tc>
          <w:tcPr>
            <w:tcW w:w="851" w:type="dxa"/>
            <w:shd w:val="clear" w:color="auto" w:fill="auto"/>
            <w:noWrap/>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4</w:t>
            </w:r>
          </w:p>
        </w:tc>
        <w:tc>
          <w:tcPr>
            <w:tcW w:w="801" w:type="dxa"/>
            <w:shd w:val="clear" w:color="auto" w:fill="auto"/>
            <w:noWrap/>
            <w:vAlign w:val="center"/>
          </w:tcPr>
          <w:p>
            <w:pPr>
              <w:spacing w:line="240" w:lineRule="auto"/>
              <w:jc w:val="center"/>
              <w:rPr>
                <w:rFonts w:hint="eastAsia"/>
                <w:sz w:val="19"/>
              </w:rPr>
            </w:pPr>
          </w:p>
        </w:tc>
        <w:tc>
          <w:tcPr>
            <w:tcW w:w="752" w:type="dxa"/>
            <w:shd w:val="clear" w:color="auto" w:fill="auto"/>
            <w:noWrap/>
            <w:vAlign w:val="center"/>
          </w:tcPr>
          <w:p>
            <w:pPr>
              <w:spacing w:line="240" w:lineRule="auto"/>
              <w:jc w:val="center"/>
              <w:rPr>
                <w:rFonts w:hint="eastAsia"/>
                <w:sz w:val="19"/>
              </w:rPr>
            </w:pPr>
            <w:r>
              <w:rPr>
                <w:rFonts w:hint="eastAsia"/>
                <w:sz w:val="19"/>
              </w:rPr>
              <w:t>125.5009326</w:t>
            </w:r>
          </w:p>
        </w:tc>
        <w:tc>
          <w:tcPr>
            <w:tcW w:w="752" w:type="dxa"/>
            <w:shd w:val="clear" w:color="auto" w:fill="auto"/>
            <w:noWrap/>
            <w:vAlign w:val="center"/>
          </w:tcPr>
          <w:p>
            <w:pPr>
              <w:spacing w:line="240" w:lineRule="auto"/>
              <w:jc w:val="center"/>
              <w:rPr>
                <w:rFonts w:hint="eastAsia"/>
                <w:sz w:val="19"/>
              </w:rPr>
            </w:pPr>
            <w:r>
              <w:rPr>
                <w:rFonts w:hint="eastAsia"/>
                <w:sz w:val="19"/>
              </w:rPr>
              <w:t>41.17817552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115</w:t>
            </w:r>
          </w:p>
        </w:tc>
        <w:tc>
          <w:tcPr>
            <w:tcW w:w="3575" w:type="dxa"/>
            <w:shd w:val="clear" w:color="auto" w:fill="auto"/>
            <w:noWrap/>
            <w:vAlign w:val="center"/>
          </w:tcPr>
          <w:p>
            <w:pPr>
              <w:spacing w:line="240" w:lineRule="auto"/>
              <w:jc w:val="center"/>
              <w:rPr>
                <w:rFonts w:hint="eastAsia"/>
                <w:sz w:val="19"/>
              </w:rPr>
            </w:pPr>
            <w:r>
              <w:rPr>
                <w:rFonts w:hint="eastAsia"/>
                <w:sz w:val="19"/>
              </w:rPr>
              <w:t>沙尖子镇政府</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桓仁满族自治县木通线</w:t>
            </w:r>
          </w:p>
        </w:tc>
        <w:tc>
          <w:tcPr>
            <w:tcW w:w="851" w:type="dxa"/>
            <w:shd w:val="clear" w:color="auto" w:fill="auto"/>
            <w:noWrap/>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4</w:t>
            </w:r>
          </w:p>
        </w:tc>
        <w:tc>
          <w:tcPr>
            <w:tcW w:w="801" w:type="dxa"/>
            <w:shd w:val="clear" w:color="auto" w:fill="auto"/>
            <w:noWrap/>
          </w:tcPr>
          <w:p>
            <w:pPr>
              <w:spacing w:line="240" w:lineRule="auto"/>
              <w:jc w:val="center"/>
              <w:rPr>
                <w:rFonts w:hint="eastAsia"/>
                <w:sz w:val="19"/>
              </w:rPr>
            </w:pPr>
          </w:p>
        </w:tc>
        <w:tc>
          <w:tcPr>
            <w:tcW w:w="752" w:type="dxa"/>
            <w:shd w:val="clear" w:color="auto" w:fill="auto"/>
            <w:noWrap/>
            <w:vAlign w:val="center"/>
          </w:tcPr>
          <w:p>
            <w:pPr>
              <w:spacing w:line="240" w:lineRule="auto"/>
              <w:jc w:val="center"/>
              <w:rPr>
                <w:rFonts w:hint="eastAsia"/>
                <w:sz w:val="19"/>
              </w:rPr>
            </w:pPr>
            <w:r>
              <w:rPr>
                <w:rFonts w:hint="eastAsia"/>
                <w:sz w:val="19"/>
              </w:rPr>
              <w:t>125.4808992</w:t>
            </w:r>
          </w:p>
        </w:tc>
        <w:tc>
          <w:tcPr>
            <w:tcW w:w="752" w:type="dxa"/>
            <w:shd w:val="clear" w:color="auto" w:fill="auto"/>
            <w:noWrap/>
            <w:vAlign w:val="center"/>
          </w:tcPr>
          <w:p>
            <w:pPr>
              <w:spacing w:line="240" w:lineRule="auto"/>
              <w:jc w:val="center"/>
              <w:rPr>
                <w:rFonts w:hint="eastAsia"/>
                <w:sz w:val="19"/>
              </w:rPr>
            </w:pPr>
            <w:r>
              <w:rPr>
                <w:rFonts w:hint="eastAsia"/>
                <w:sz w:val="19"/>
              </w:rPr>
              <w:t>41.01365271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116</w:t>
            </w:r>
          </w:p>
        </w:tc>
        <w:tc>
          <w:tcPr>
            <w:tcW w:w="3575" w:type="dxa"/>
            <w:shd w:val="clear" w:color="auto" w:fill="auto"/>
            <w:noWrap/>
            <w:vAlign w:val="center"/>
          </w:tcPr>
          <w:p>
            <w:pPr>
              <w:spacing w:line="240" w:lineRule="auto"/>
              <w:jc w:val="center"/>
              <w:rPr>
                <w:rFonts w:hint="eastAsia"/>
                <w:sz w:val="19"/>
              </w:rPr>
            </w:pPr>
            <w:r>
              <w:rPr>
                <w:rFonts w:hint="eastAsia"/>
                <w:sz w:val="19"/>
              </w:rPr>
              <w:t>五里甸子镇政府</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桓仁满族自治县中心街五里甸子镇附近</w:t>
            </w:r>
          </w:p>
        </w:tc>
        <w:tc>
          <w:tcPr>
            <w:tcW w:w="851" w:type="dxa"/>
            <w:shd w:val="clear" w:color="auto" w:fill="auto"/>
            <w:noWrap/>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4</w:t>
            </w:r>
          </w:p>
        </w:tc>
        <w:tc>
          <w:tcPr>
            <w:tcW w:w="801" w:type="dxa"/>
            <w:shd w:val="clear" w:color="auto" w:fill="auto"/>
            <w:noWrap/>
          </w:tcPr>
          <w:p>
            <w:pPr>
              <w:spacing w:line="240" w:lineRule="auto"/>
              <w:jc w:val="center"/>
              <w:rPr>
                <w:rFonts w:hint="eastAsia"/>
                <w:sz w:val="19"/>
              </w:rPr>
            </w:pPr>
          </w:p>
        </w:tc>
        <w:tc>
          <w:tcPr>
            <w:tcW w:w="752" w:type="dxa"/>
            <w:shd w:val="clear" w:color="auto" w:fill="auto"/>
            <w:noWrap/>
            <w:vAlign w:val="center"/>
          </w:tcPr>
          <w:p>
            <w:pPr>
              <w:spacing w:line="240" w:lineRule="auto"/>
              <w:jc w:val="center"/>
              <w:rPr>
                <w:rFonts w:hint="eastAsia"/>
                <w:sz w:val="19"/>
              </w:rPr>
            </w:pPr>
            <w:r>
              <w:rPr>
                <w:rFonts w:hint="eastAsia"/>
                <w:sz w:val="19"/>
              </w:rPr>
              <w:t>125.5580288</w:t>
            </w:r>
          </w:p>
        </w:tc>
        <w:tc>
          <w:tcPr>
            <w:tcW w:w="752" w:type="dxa"/>
            <w:shd w:val="clear" w:color="auto" w:fill="auto"/>
            <w:noWrap/>
            <w:vAlign w:val="center"/>
          </w:tcPr>
          <w:p>
            <w:pPr>
              <w:spacing w:line="240" w:lineRule="auto"/>
              <w:jc w:val="center"/>
              <w:rPr>
                <w:rFonts w:hint="eastAsia"/>
                <w:sz w:val="19"/>
              </w:rPr>
            </w:pPr>
            <w:r>
              <w:rPr>
                <w:rFonts w:hint="eastAsia"/>
                <w:sz w:val="19"/>
              </w:rPr>
              <w:t>41.00478757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117</w:t>
            </w:r>
          </w:p>
        </w:tc>
        <w:tc>
          <w:tcPr>
            <w:tcW w:w="3575" w:type="dxa"/>
            <w:shd w:val="clear" w:color="auto" w:fill="auto"/>
            <w:noWrap/>
            <w:vAlign w:val="center"/>
          </w:tcPr>
          <w:p>
            <w:pPr>
              <w:spacing w:line="240" w:lineRule="auto"/>
              <w:jc w:val="center"/>
              <w:rPr>
                <w:rFonts w:hint="eastAsia"/>
                <w:sz w:val="19"/>
              </w:rPr>
            </w:pPr>
            <w:r>
              <w:rPr>
                <w:rFonts w:hint="eastAsia"/>
                <w:sz w:val="19"/>
              </w:rPr>
              <w:t>雅河乡政府</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桓仁满族自治县201国道雅河朝鲜族乡附近</w:t>
            </w:r>
          </w:p>
        </w:tc>
        <w:tc>
          <w:tcPr>
            <w:tcW w:w="851" w:type="dxa"/>
            <w:shd w:val="clear" w:color="auto" w:fill="auto"/>
            <w:noWrap/>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4</w:t>
            </w:r>
          </w:p>
        </w:tc>
        <w:tc>
          <w:tcPr>
            <w:tcW w:w="801" w:type="dxa"/>
            <w:shd w:val="clear" w:color="auto" w:fill="auto"/>
            <w:noWrap/>
          </w:tcPr>
          <w:p>
            <w:pPr>
              <w:spacing w:line="240" w:lineRule="auto"/>
              <w:jc w:val="center"/>
              <w:rPr>
                <w:rFonts w:hint="eastAsia"/>
                <w:sz w:val="19"/>
              </w:rPr>
            </w:pPr>
          </w:p>
        </w:tc>
        <w:tc>
          <w:tcPr>
            <w:tcW w:w="752" w:type="dxa"/>
            <w:shd w:val="clear" w:color="auto" w:fill="auto"/>
            <w:noWrap/>
            <w:vAlign w:val="center"/>
          </w:tcPr>
          <w:p>
            <w:pPr>
              <w:spacing w:line="240" w:lineRule="auto"/>
              <w:jc w:val="center"/>
              <w:rPr>
                <w:rFonts w:hint="eastAsia"/>
                <w:sz w:val="19"/>
              </w:rPr>
            </w:pPr>
            <w:r>
              <w:rPr>
                <w:rFonts w:hint="eastAsia"/>
                <w:sz w:val="19"/>
              </w:rPr>
              <w:t>125.310882</w:t>
            </w:r>
          </w:p>
        </w:tc>
        <w:tc>
          <w:tcPr>
            <w:tcW w:w="752" w:type="dxa"/>
            <w:shd w:val="clear" w:color="auto" w:fill="auto"/>
            <w:noWrap/>
            <w:vAlign w:val="center"/>
          </w:tcPr>
          <w:p>
            <w:pPr>
              <w:spacing w:line="240" w:lineRule="auto"/>
              <w:jc w:val="center"/>
              <w:rPr>
                <w:rFonts w:hint="eastAsia"/>
                <w:sz w:val="19"/>
              </w:rPr>
            </w:pPr>
            <w:r>
              <w:rPr>
                <w:rFonts w:hint="eastAsia"/>
                <w:sz w:val="19"/>
              </w:rPr>
              <w:t>41.20946358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118</w:t>
            </w:r>
          </w:p>
        </w:tc>
        <w:tc>
          <w:tcPr>
            <w:tcW w:w="3575" w:type="dxa"/>
            <w:shd w:val="clear" w:color="auto" w:fill="auto"/>
            <w:noWrap/>
            <w:vAlign w:val="center"/>
          </w:tcPr>
          <w:p>
            <w:pPr>
              <w:spacing w:line="240" w:lineRule="auto"/>
              <w:jc w:val="center"/>
              <w:rPr>
                <w:rFonts w:hint="eastAsia"/>
                <w:sz w:val="19"/>
              </w:rPr>
            </w:pPr>
            <w:r>
              <w:rPr>
                <w:rFonts w:hint="eastAsia"/>
                <w:sz w:val="19"/>
              </w:rPr>
              <w:t>桓仁中医院</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桓仁满族自治县黎明街19-1号</w:t>
            </w:r>
          </w:p>
        </w:tc>
        <w:tc>
          <w:tcPr>
            <w:tcW w:w="851" w:type="dxa"/>
            <w:shd w:val="clear" w:color="auto" w:fill="auto"/>
            <w:noWrap/>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w:t>
            </w:r>
          </w:p>
        </w:tc>
        <w:tc>
          <w:tcPr>
            <w:tcW w:w="872" w:type="dxa"/>
            <w:shd w:val="clear" w:color="auto" w:fill="auto"/>
            <w:noWrap/>
            <w:vAlign w:val="center"/>
          </w:tcPr>
          <w:p>
            <w:pPr>
              <w:spacing w:line="240" w:lineRule="auto"/>
              <w:jc w:val="center"/>
              <w:rPr>
                <w:rFonts w:hint="eastAsia"/>
                <w:sz w:val="19"/>
              </w:rPr>
            </w:pPr>
            <w:r>
              <w:rPr>
                <w:rFonts w:hint="eastAsia"/>
                <w:sz w:val="19"/>
              </w:rPr>
              <w:t>2</w:t>
            </w:r>
          </w:p>
        </w:tc>
        <w:tc>
          <w:tcPr>
            <w:tcW w:w="801" w:type="dxa"/>
            <w:shd w:val="clear" w:color="auto" w:fill="auto"/>
            <w:noWrap/>
          </w:tcPr>
          <w:p>
            <w:pPr>
              <w:spacing w:line="240" w:lineRule="auto"/>
              <w:jc w:val="center"/>
              <w:rPr>
                <w:rFonts w:hint="eastAsia"/>
                <w:sz w:val="19"/>
              </w:rPr>
            </w:pPr>
          </w:p>
        </w:tc>
        <w:tc>
          <w:tcPr>
            <w:tcW w:w="752" w:type="dxa"/>
            <w:shd w:val="clear" w:color="auto" w:fill="auto"/>
            <w:noWrap/>
            <w:vAlign w:val="center"/>
          </w:tcPr>
          <w:p>
            <w:pPr>
              <w:spacing w:line="240" w:lineRule="auto"/>
              <w:jc w:val="center"/>
              <w:rPr>
                <w:rFonts w:hint="eastAsia"/>
                <w:sz w:val="19"/>
              </w:rPr>
            </w:pPr>
            <w:r>
              <w:rPr>
                <w:rFonts w:hint="eastAsia"/>
                <w:sz w:val="19"/>
              </w:rPr>
              <w:t>125.3745248</w:t>
            </w:r>
          </w:p>
        </w:tc>
        <w:tc>
          <w:tcPr>
            <w:tcW w:w="752" w:type="dxa"/>
            <w:shd w:val="clear" w:color="auto" w:fill="auto"/>
            <w:noWrap/>
            <w:vAlign w:val="center"/>
          </w:tcPr>
          <w:p>
            <w:pPr>
              <w:spacing w:line="240" w:lineRule="auto"/>
              <w:jc w:val="center"/>
              <w:rPr>
                <w:rFonts w:hint="eastAsia"/>
                <w:sz w:val="19"/>
              </w:rPr>
            </w:pPr>
            <w:r>
              <w:rPr>
                <w:rFonts w:hint="eastAsia"/>
                <w:sz w:val="19"/>
              </w:rPr>
              <w:t>41.29183826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119</w:t>
            </w:r>
          </w:p>
        </w:tc>
        <w:tc>
          <w:tcPr>
            <w:tcW w:w="3575" w:type="dxa"/>
            <w:shd w:val="clear" w:color="auto" w:fill="auto"/>
            <w:noWrap/>
            <w:vAlign w:val="center"/>
          </w:tcPr>
          <w:p>
            <w:pPr>
              <w:spacing w:line="240" w:lineRule="auto"/>
              <w:jc w:val="center"/>
              <w:rPr>
                <w:rFonts w:hint="eastAsia"/>
                <w:sz w:val="19"/>
              </w:rPr>
            </w:pPr>
            <w:r>
              <w:rPr>
                <w:rFonts w:hint="eastAsia"/>
                <w:sz w:val="19"/>
              </w:rPr>
              <w:t>西江中学</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桓仁满族自治县黄河大街与龙宝路交叉路口往南约150米</w:t>
            </w:r>
          </w:p>
        </w:tc>
        <w:tc>
          <w:tcPr>
            <w:tcW w:w="851" w:type="dxa"/>
            <w:shd w:val="clear" w:color="auto" w:fill="auto"/>
            <w:noWrap/>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w:t>
            </w:r>
          </w:p>
        </w:tc>
        <w:tc>
          <w:tcPr>
            <w:tcW w:w="872" w:type="dxa"/>
            <w:shd w:val="clear" w:color="auto" w:fill="auto"/>
            <w:noWrap/>
            <w:vAlign w:val="center"/>
          </w:tcPr>
          <w:p>
            <w:pPr>
              <w:spacing w:line="240" w:lineRule="auto"/>
              <w:jc w:val="center"/>
              <w:rPr>
                <w:rFonts w:hint="eastAsia"/>
                <w:sz w:val="19"/>
              </w:rPr>
            </w:pPr>
            <w:r>
              <w:rPr>
                <w:rFonts w:hint="eastAsia"/>
                <w:sz w:val="19"/>
              </w:rPr>
              <w:t>2</w:t>
            </w:r>
          </w:p>
        </w:tc>
        <w:tc>
          <w:tcPr>
            <w:tcW w:w="801" w:type="dxa"/>
            <w:shd w:val="clear" w:color="auto" w:fill="auto"/>
            <w:noWrap/>
            <w:vAlign w:val="center"/>
          </w:tcPr>
          <w:p>
            <w:pPr>
              <w:spacing w:line="240" w:lineRule="auto"/>
              <w:jc w:val="center"/>
              <w:rPr>
                <w:rFonts w:hint="eastAsia"/>
                <w:sz w:val="19"/>
              </w:rPr>
            </w:pPr>
          </w:p>
        </w:tc>
        <w:tc>
          <w:tcPr>
            <w:tcW w:w="752" w:type="dxa"/>
            <w:shd w:val="clear" w:color="auto" w:fill="auto"/>
            <w:noWrap/>
            <w:vAlign w:val="center"/>
          </w:tcPr>
          <w:p>
            <w:pPr>
              <w:spacing w:line="240" w:lineRule="auto"/>
              <w:jc w:val="center"/>
              <w:rPr>
                <w:rFonts w:hint="eastAsia"/>
                <w:sz w:val="19"/>
              </w:rPr>
            </w:pPr>
            <w:r>
              <w:rPr>
                <w:rFonts w:hint="eastAsia"/>
                <w:sz w:val="19"/>
              </w:rPr>
              <w:t>125.3453082</w:t>
            </w:r>
          </w:p>
        </w:tc>
        <w:tc>
          <w:tcPr>
            <w:tcW w:w="752" w:type="dxa"/>
            <w:shd w:val="clear" w:color="auto" w:fill="auto"/>
            <w:noWrap/>
            <w:vAlign w:val="center"/>
          </w:tcPr>
          <w:p>
            <w:pPr>
              <w:spacing w:line="240" w:lineRule="auto"/>
              <w:jc w:val="center"/>
              <w:rPr>
                <w:rFonts w:hint="eastAsia"/>
                <w:sz w:val="19"/>
              </w:rPr>
            </w:pPr>
            <w:r>
              <w:rPr>
                <w:rFonts w:hint="eastAsia"/>
                <w:sz w:val="19"/>
              </w:rPr>
              <w:t>41.27530288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120</w:t>
            </w:r>
          </w:p>
        </w:tc>
        <w:tc>
          <w:tcPr>
            <w:tcW w:w="3575" w:type="dxa"/>
            <w:shd w:val="clear" w:color="auto" w:fill="auto"/>
            <w:noWrap/>
            <w:vAlign w:val="center"/>
          </w:tcPr>
          <w:p>
            <w:pPr>
              <w:spacing w:line="240" w:lineRule="auto"/>
              <w:jc w:val="center"/>
              <w:rPr>
                <w:rFonts w:hint="eastAsia"/>
                <w:sz w:val="19"/>
              </w:rPr>
            </w:pPr>
            <w:r>
              <w:rPr>
                <w:rFonts w:hint="eastAsia"/>
                <w:sz w:val="19"/>
              </w:rPr>
              <w:t>东山中学</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桓仁满族自治县浑江大街115号</w:t>
            </w:r>
          </w:p>
        </w:tc>
        <w:tc>
          <w:tcPr>
            <w:tcW w:w="851" w:type="dxa"/>
            <w:shd w:val="clear" w:color="auto" w:fill="auto"/>
            <w:noWrap/>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w:t>
            </w:r>
          </w:p>
        </w:tc>
        <w:tc>
          <w:tcPr>
            <w:tcW w:w="872" w:type="dxa"/>
            <w:shd w:val="clear" w:color="auto" w:fill="auto"/>
            <w:noWrap/>
            <w:vAlign w:val="center"/>
          </w:tcPr>
          <w:p>
            <w:pPr>
              <w:spacing w:line="240" w:lineRule="auto"/>
              <w:jc w:val="center"/>
              <w:rPr>
                <w:rFonts w:hint="eastAsia"/>
                <w:sz w:val="19"/>
              </w:rPr>
            </w:pPr>
            <w:r>
              <w:rPr>
                <w:rFonts w:hint="eastAsia"/>
                <w:sz w:val="19"/>
              </w:rPr>
              <w:t>2</w:t>
            </w:r>
          </w:p>
        </w:tc>
        <w:tc>
          <w:tcPr>
            <w:tcW w:w="801" w:type="dxa"/>
            <w:shd w:val="clear" w:color="auto" w:fill="auto"/>
            <w:noWrap/>
            <w:vAlign w:val="center"/>
          </w:tcPr>
          <w:p>
            <w:pPr>
              <w:spacing w:line="240" w:lineRule="auto"/>
              <w:jc w:val="center"/>
              <w:rPr>
                <w:rFonts w:hint="eastAsia"/>
                <w:sz w:val="19"/>
              </w:rPr>
            </w:pPr>
          </w:p>
        </w:tc>
        <w:tc>
          <w:tcPr>
            <w:tcW w:w="752" w:type="dxa"/>
            <w:shd w:val="clear" w:color="auto" w:fill="auto"/>
            <w:noWrap/>
            <w:vAlign w:val="center"/>
          </w:tcPr>
          <w:p>
            <w:pPr>
              <w:spacing w:line="240" w:lineRule="auto"/>
              <w:jc w:val="center"/>
              <w:rPr>
                <w:rFonts w:hint="eastAsia"/>
                <w:sz w:val="19"/>
              </w:rPr>
            </w:pPr>
            <w:r>
              <w:rPr>
                <w:rFonts w:hint="eastAsia"/>
                <w:sz w:val="19"/>
              </w:rPr>
              <w:t>125.3654462</w:t>
            </w:r>
          </w:p>
        </w:tc>
        <w:tc>
          <w:tcPr>
            <w:tcW w:w="752" w:type="dxa"/>
            <w:shd w:val="clear" w:color="auto" w:fill="auto"/>
            <w:noWrap/>
            <w:vAlign w:val="center"/>
          </w:tcPr>
          <w:p>
            <w:pPr>
              <w:spacing w:line="240" w:lineRule="auto"/>
              <w:jc w:val="center"/>
              <w:rPr>
                <w:rFonts w:hint="eastAsia"/>
                <w:sz w:val="19"/>
              </w:rPr>
            </w:pPr>
            <w:r>
              <w:rPr>
                <w:rFonts w:hint="eastAsia"/>
                <w:sz w:val="19"/>
              </w:rPr>
              <w:t>41.26017449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121</w:t>
            </w:r>
          </w:p>
        </w:tc>
        <w:tc>
          <w:tcPr>
            <w:tcW w:w="3575" w:type="dxa"/>
            <w:shd w:val="clear" w:color="auto" w:fill="auto"/>
            <w:noWrap/>
            <w:vAlign w:val="center"/>
          </w:tcPr>
          <w:p>
            <w:pPr>
              <w:spacing w:line="240" w:lineRule="auto"/>
              <w:jc w:val="center"/>
              <w:rPr>
                <w:rFonts w:hint="eastAsia"/>
                <w:sz w:val="19"/>
              </w:rPr>
            </w:pPr>
            <w:r>
              <w:rPr>
                <w:rFonts w:hint="eastAsia"/>
                <w:sz w:val="19"/>
              </w:rPr>
              <w:t>桓仁满族自治县第一高级中学</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桓仁满族自治县清华路12号</w:t>
            </w:r>
          </w:p>
        </w:tc>
        <w:tc>
          <w:tcPr>
            <w:tcW w:w="851" w:type="dxa"/>
            <w:shd w:val="clear" w:color="auto" w:fill="auto"/>
            <w:noWrap/>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w:t>
            </w:r>
          </w:p>
        </w:tc>
        <w:tc>
          <w:tcPr>
            <w:tcW w:w="872" w:type="dxa"/>
            <w:shd w:val="clear" w:color="auto" w:fill="auto"/>
            <w:noWrap/>
            <w:vAlign w:val="center"/>
          </w:tcPr>
          <w:p>
            <w:pPr>
              <w:spacing w:line="240" w:lineRule="auto"/>
              <w:jc w:val="center"/>
              <w:rPr>
                <w:rFonts w:hint="eastAsia"/>
                <w:sz w:val="19"/>
              </w:rPr>
            </w:pPr>
            <w:r>
              <w:rPr>
                <w:rFonts w:hint="eastAsia"/>
                <w:sz w:val="19"/>
              </w:rPr>
              <w:t>2</w:t>
            </w:r>
          </w:p>
        </w:tc>
        <w:tc>
          <w:tcPr>
            <w:tcW w:w="801" w:type="dxa"/>
            <w:shd w:val="clear" w:color="auto" w:fill="auto"/>
            <w:noWrap/>
            <w:vAlign w:val="center"/>
          </w:tcPr>
          <w:p>
            <w:pPr>
              <w:spacing w:line="240" w:lineRule="auto"/>
              <w:jc w:val="center"/>
              <w:rPr>
                <w:rFonts w:hint="eastAsia"/>
                <w:sz w:val="19"/>
              </w:rPr>
            </w:pPr>
          </w:p>
        </w:tc>
        <w:tc>
          <w:tcPr>
            <w:tcW w:w="752" w:type="dxa"/>
            <w:shd w:val="clear" w:color="auto" w:fill="auto"/>
            <w:noWrap/>
            <w:vAlign w:val="center"/>
          </w:tcPr>
          <w:p>
            <w:pPr>
              <w:spacing w:line="240" w:lineRule="auto"/>
              <w:jc w:val="center"/>
              <w:rPr>
                <w:rFonts w:hint="eastAsia"/>
                <w:sz w:val="19"/>
              </w:rPr>
            </w:pPr>
            <w:r>
              <w:rPr>
                <w:rFonts w:hint="eastAsia"/>
                <w:sz w:val="19"/>
              </w:rPr>
              <w:t>125.3487092</w:t>
            </w:r>
          </w:p>
        </w:tc>
        <w:tc>
          <w:tcPr>
            <w:tcW w:w="752" w:type="dxa"/>
            <w:shd w:val="clear" w:color="auto" w:fill="auto"/>
            <w:noWrap/>
            <w:vAlign w:val="center"/>
          </w:tcPr>
          <w:p>
            <w:pPr>
              <w:spacing w:line="240" w:lineRule="auto"/>
              <w:jc w:val="center"/>
              <w:rPr>
                <w:rFonts w:hint="eastAsia"/>
                <w:sz w:val="19"/>
              </w:rPr>
            </w:pPr>
            <w:r>
              <w:rPr>
                <w:rFonts w:hint="eastAsia"/>
                <w:sz w:val="19"/>
              </w:rPr>
              <w:t>41.27697195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122</w:t>
            </w:r>
          </w:p>
        </w:tc>
        <w:tc>
          <w:tcPr>
            <w:tcW w:w="3575" w:type="dxa"/>
            <w:shd w:val="clear" w:color="auto" w:fill="auto"/>
            <w:noWrap/>
            <w:vAlign w:val="center"/>
          </w:tcPr>
          <w:p>
            <w:pPr>
              <w:spacing w:line="240" w:lineRule="auto"/>
              <w:jc w:val="center"/>
              <w:rPr>
                <w:rFonts w:hint="eastAsia"/>
                <w:sz w:val="19"/>
              </w:rPr>
            </w:pPr>
            <w:r>
              <w:rPr>
                <w:rFonts w:hint="eastAsia"/>
                <w:sz w:val="19"/>
              </w:rPr>
              <w:t>桓仁镇政府</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桓仁满族自治县民族路</w:t>
            </w:r>
          </w:p>
        </w:tc>
        <w:tc>
          <w:tcPr>
            <w:tcW w:w="851" w:type="dxa"/>
            <w:shd w:val="clear" w:color="auto" w:fill="auto"/>
            <w:noWrap/>
          </w:tcPr>
          <w:p>
            <w:pPr>
              <w:spacing w:line="240" w:lineRule="auto"/>
              <w:jc w:val="center"/>
              <w:rPr>
                <w:rFonts w:hint="eastAsia"/>
                <w:sz w:val="19"/>
              </w:rPr>
            </w:pPr>
            <w:r>
              <w:rPr>
                <w:rFonts w:hint="eastAsia"/>
                <w:sz w:val="19"/>
              </w:rPr>
              <w:t>专用</w:t>
            </w:r>
          </w:p>
        </w:tc>
        <w:tc>
          <w:tcPr>
            <w:tcW w:w="567" w:type="dxa"/>
            <w:shd w:val="clear" w:color="auto" w:fill="auto"/>
            <w:noWrap/>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w:t>
            </w:r>
          </w:p>
        </w:tc>
        <w:tc>
          <w:tcPr>
            <w:tcW w:w="872" w:type="dxa"/>
            <w:shd w:val="clear" w:color="auto" w:fill="auto"/>
            <w:noWrap/>
            <w:vAlign w:val="center"/>
          </w:tcPr>
          <w:p>
            <w:pPr>
              <w:spacing w:line="240" w:lineRule="auto"/>
              <w:jc w:val="center"/>
              <w:rPr>
                <w:rFonts w:hint="eastAsia"/>
                <w:sz w:val="19"/>
              </w:rPr>
            </w:pPr>
            <w:r>
              <w:rPr>
                <w:rFonts w:hint="eastAsia"/>
                <w:sz w:val="19"/>
              </w:rPr>
              <w:t>2</w:t>
            </w:r>
          </w:p>
        </w:tc>
        <w:tc>
          <w:tcPr>
            <w:tcW w:w="801" w:type="dxa"/>
            <w:shd w:val="clear" w:color="auto" w:fill="auto"/>
            <w:noWrap/>
            <w:vAlign w:val="center"/>
          </w:tcPr>
          <w:p>
            <w:pPr>
              <w:spacing w:line="240" w:lineRule="auto"/>
              <w:jc w:val="center"/>
              <w:rPr>
                <w:rFonts w:hint="eastAsia"/>
                <w:sz w:val="19"/>
              </w:rPr>
            </w:pPr>
          </w:p>
        </w:tc>
        <w:tc>
          <w:tcPr>
            <w:tcW w:w="752" w:type="dxa"/>
            <w:shd w:val="clear" w:color="auto" w:fill="auto"/>
            <w:noWrap/>
            <w:vAlign w:val="center"/>
          </w:tcPr>
          <w:p>
            <w:pPr>
              <w:spacing w:line="240" w:lineRule="auto"/>
              <w:jc w:val="center"/>
              <w:rPr>
                <w:rFonts w:hint="eastAsia"/>
                <w:sz w:val="19"/>
              </w:rPr>
            </w:pPr>
            <w:r>
              <w:rPr>
                <w:rFonts w:hint="eastAsia"/>
                <w:sz w:val="19"/>
              </w:rPr>
              <w:t>125.3559646</w:t>
            </w:r>
          </w:p>
        </w:tc>
        <w:tc>
          <w:tcPr>
            <w:tcW w:w="752" w:type="dxa"/>
            <w:shd w:val="clear" w:color="auto" w:fill="auto"/>
            <w:noWrap/>
            <w:vAlign w:val="center"/>
          </w:tcPr>
          <w:p>
            <w:pPr>
              <w:spacing w:line="240" w:lineRule="auto"/>
              <w:jc w:val="center"/>
              <w:rPr>
                <w:rFonts w:hint="eastAsia"/>
                <w:sz w:val="19"/>
              </w:rPr>
            </w:pPr>
            <w:r>
              <w:rPr>
                <w:rFonts w:hint="eastAsia"/>
                <w:sz w:val="19"/>
              </w:rPr>
              <w:t>41.27144652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123</w:t>
            </w:r>
          </w:p>
        </w:tc>
        <w:tc>
          <w:tcPr>
            <w:tcW w:w="3575" w:type="dxa"/>
            <w:shd w:val="clear" w:color="auto" w:fill="auto"/>
            <w:noWrap/>
            <w:vAlign w:val="center"/>
          </w:tcPr>
          <w:p>
            <w:pPr>
              <w:spacing w:line="240" w:lineRule="auto"/>
              <w:jc w:val="center"/>
              <w:rPr>
                <w:rFonts w:hint="eastAsia"/>
                <w:sz w:val="19"/>
              </w:rPr>
            </w:pPr>
            <w:r>
              <w:rPr>
                <w:rFonts w:hint="eastAsia"/>
                <w:sz w:val="19"/>
              </w:rPr>
              <w:t>章樾广场</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桓仁满族自治县府安路与长江大街交叉口西140米</w:t>
            </w:r>
          </w:p>
        </w:tc>
        <w:tc>
          <w:tcPr>
            <w:tcW w:w="851" w:type="dxa"/>
            <w:shd w:val="clear" w:color="auto" w:fill="auto"/>
            <w:noWrap/>
          </w:tcPr>
          <w:p>
            <w:pPr>
              <w:spacing w:line="240" w:lineRule="auto"/>
              <w:jc w:val="center"/>
              <w:rPr>
                <w:rFonts w:hint="eastAsia"/>
                <w:sz w:val="19"/>
              </w:rPr>
            </w:pPr>
            <w:r>
              <w:rPr>
                <w:rFonts w:hint="eastAsia"/>
                <w:sz w:val="19"/>
              </w:rPr>
              <w:t>专用</w:t>
            </w:r>
          </w:p>
        </w:tc>
        <w:tc>
          <w:tcPr>
            <w:tcW w:w="567" w:type="dxa"/>
            <w:shd w:val="clear" w:color="auto" w:fill="auto"/>
            <w:noWrap/>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4</w:t>
            </w:r>
          </w:p>
        </w:tc>
        <w:tc>
          <w:tcPr>
            <w:tcW w:w="801" w:type="dxa"/>
            <w:shd w:val="clear" w:color="auto" w:fill="auto"/>
            <w:noWrap/>
            <w:vAlign w:val="center"/>
          </w:tcPr>
          <w:p>
            <w:pPr>
              <w:spacing w:line="240" w:lineRule="auto"/>
              <w:jc w:val="center"/>
              <w:rPr>
                <w:rFonts w:hint="eastAsia"/>
                <w:sz w:val="19"/>
              </w:rPr>
            </w:pPr>
          </w:p>
        </w:tc>
        <w:tc>
          <w:tcPr>
            <w:tcW w:w="752" w:type="dxa"/>
            <w:shd w:val="clear" w:color="auto" w:fill="auto"/>
            <w:noWrap/>
            <w:vAlign w:val="center"/>
          </w:tcPr>
          <w:p>
            <w:pPr>
              <w:spacing w:line="240" w:lineRule="auto"/>
              <w:jc w:val="center"/>
              <w:rPr>
                <w:rFonts w:hint="eastAsia"/>
                <w:sz w:val="19"/>
              </w:rPr>
            </w:pPr>
            <w:r>
              <w:rPr>
                <w:rFonts w:hint="eastAsia"/>
                <w:sz w:val="19"/>
              </w:rPr>
              <w:t>125.3479743</w:t>
            </w:r>
          </w:p>
        </w:tc>
        <w:tc>
          <w:tcPr>
            <w:tcW w:w="752" w:type="dxa"/>
            <w:shd w:val="clear" w:color="auto" w:fill="auto"/>
            <w:noWrap/>
            <w:vAlign w:val="center"/>
          </w:tcPr>
          <w:p>
            <w:pPr>
              <w:spacing w:line="240" w:lineRule="auto"/>
              <w:jc w:val="center"/>
              <w:rPr>
                <w:rFonts w:hint="eastAsia"/>
                <w:sz w:val="19"/>
              </w:rPr>
            </w:pPr>
            <w:r>
              <w:rPr>
                <w:rFonts w:hint="eastAsia"/>
                <w:sz w:val="19"/>
              </w:rPr>
              <w:t>41.25946072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124</w:t>
            </w:r>
          </w:p>
        </w:tc>
        <w:tc>
          <w:tcPr>
            <w:tcW w:w="3575" w:type="dxa"/>
            <w:shd w:val="clear" w:color="auto" w:fill="auto"/>
            <w:noWrap/>
            <w:vAlign w:val="center"/>
          </w:tcPr>
          <w:p>
            <w:pPr>
              <w:spacing w:line="240" w:lineRule="auto"/>
              <w:jc w:val="center"/>
              <w:rPr>
                <w:rFonts w:hint="eastAsia"/>
                <w:sz w:val="19"/>
              </w:rPr>
            </w:pPr>
            <w:r>
              <w:rPr>
                <w:rFonts w:hint="eastAsia"/>
                <w:sz w:val="19"/>
              </w:rPr>
              <w:t>五女山宾馆（教育园内）</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桓仁满族自治县黄河大街1号</w:t>
            </w:r>
          </w:p>
        </w:tc>
        <w:tc>
          <w:tcPr>
            <w:tcW w:w="851" w:type="dxa"/>
            <w:shd w:val="clear" w:color="auto" w:fill="auto"/>
            <w:noWrap/>
          </w:tcPr>
          <w:p>
            <w:pPr>
              <w:spacing w:line="240" w:lineRule="auto"/>
              <w:jc w:val="center"/>
              <w:rPr>
                <w:rFonts w:hint="eastAsia"/>
                <w:sz w:val="19"/>
              </w:rPr>
            </w:pPr>
            <w:r>
              <w:rPr>
                <w:rFonts w:hint="eastAsia"/>
                <w:sz w:val="19"/>
              </w:rPr>
              <w:t>专用</w:t>
            </w:r>
          </w:p>
        </w:tc>
        <w:tc>
          <w:tcPr>
            <w:tcW w:w="567" w:type="dxa"/>
            <w:shd w:val="clear" w:color="auto" w:fill="auto"/>
            <w:noWrap/>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4</w:t>
            </w:r>
          </w:p>
        </w:tc>
        <w:tc>
          <w:tcPr>
            <w:tcW w:w="801" w:type="dxa"/>
            <w:shd w:val="clear" w:color="auto" w:fill="auto"/>
            <w:noWrap/>
            <w:vAlign w:val="center"/>
          </w:tcPr>
          <w:p>
            <w:pPr>
              <w:spacing w:line="240" w:lineRule="auto"/>
              <w:jc w:val="center"/>
              <w:rPr>
                <w:rFonts w:hint="eastAsia"/>
                <w:sz w:val="19"/>
              </w:rPr>
            </w:pPr>
          </w:p>
        </w:tc>
        <w:tc>
          <w:tcPr>
            <w:tcW w:w="752" w:type="dxa"/>
            <w:shd w:val="clear" w:color="auto" w:fill="auto"/>
            <w:noWrap/>
            <w:vAlign w:val="center"/>
          </w:tcPr>
          <w:p>
            <w:pPr>
              <w:spacing w:line="240" w:lineRule="auto"/>
              <w:jc w:val="center"/>
              <w:rPr>
                <w:rFonts w:hint="eastAsia"/>
                <w:sz w:val="19"/>
              </w:rPr>
            </w:pPr>
            <w:r>
              <w:rPr>
                <w:rFonts w:hint="eastAsia"/>
                <w:sz w:val="19"/>
              </w:rPr>
              <w:t>125.3463918</w:t>
            </w:r>
          </w:p>
        </w:tc>
        <w:tc>
          <w:tcPr>
            <w:tcW w:w="752" w:type="dxa"/>
            <w:shd w:val="clear" w:color="auto" w:fill="auto"/>
            <w:noWrap/>
            <w:vAlign w:val="center"/>
          </w:tcPr>
          <w:p>
            <w:pPr>
              <w:spacing w:line="240" w:lineRule="auto"/>
              <w:jc w:val="center"/>
              <w:rPr>
                <w:rFonts w:hint="eastAsia"/>
                <w:sz w:val="19"/>
              </w:rPr>
            </w:pPr>
            <w:r>
              <w:rPr>
                <w:rFonts w:hint="eastAsia"/>
                <w:sz w:val="19"/>
              </w:rPr>
              <w:t>41.27884255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rHeight w:val="32" w:hRule="atLeast"/>
          <w:jc w:val="center"/>
        </w:trPr>
        <w:tc>
          <w:tcPr>
            <w:tcW w:w="557" w:type="dxa"/>
            <w:shd w:val="clear" w:color="auto" w:fill="auto"/>
            <w:noWrap/>
            <w:vAlign w:val="center"/>
          </w:tcPr>
          <w:p>
            <w:pPr>
              <w:spacing w:line="240" w:lineRule="auto"/>
              <w:jc w:val="center"/>
              <w:rPr>
                <w:rFonts w:hint="eastAsia"/>
                <w:sz w:val="19"/>
              </w:rPr>
            </w:pPr>
            <w:r>
              <w:rPr>
                <w:rFonts w:hint="eastAsia"/>
                <w:sz w:val="19"/>
              </w:rPr>
              <w:t>125</w:t>
            </w:r>
          </w:p>
        </w:tc>
        <w:tc>
          <w:tcPr>
            <w:tcW w:w="3575" w:type="dxa"/>
            <w:shd w:val="clear" w:color="auto" w:fill="auto"/>
            <w:noWrap/>
            <w:vAlign w:val="center"/>
          </w:tcPr>
          <w:p>
            <w:pPr>
              <w:spacing w:line="240" w:lineRule="auto"/>
              <w:jc w:val="center"/>
              <w:rPr>
                <w:rFonts w:hint="eastAsia"/>
                <w:sz w:val="19"/>
              </w:rPr>
            </w:pPr>
            <w:r>
              <w:rPr>
                <w:rFonts w:hint="eastAsia"/>
                <w:sz w:val="19"/>
              </w:rPr>
              <w:t>桓仁县县委</w:t>
            </w:r>
          </w:p>
        </w:tc>
        <w:tc>
          <w:tcPr>
            <w:tcW w:w="4505" w:type="dxa"/>
            <w:shd w:val="clear" w:color="auto" w:fill="auto"/>
            <w:noWrap/>
            <w:vAlign w:val="center"/>
          </w:tcPr>
          <w:p>
            <w:pPr>
              <w:spacing w:line="240" w:lineRule="auto"/>
              <w:jc w:val="center"/>
              <w:rPr>
                <w:rFonts w:hint="eastAsia"/>
                <w:sz w:val="19"/>
              </w:rPr>
            </w:pPr>
            <w:r>
              <w:rPr>
                <w:rFonts w:hint="eastAsia"/>
                <w:sz w:val="19"/>
              </w:rPr>
              <w:t>桓仁满族自治县桓仁镇文化路5号</w:t>
            </w:r>
          </w:p>
        </w:tc>
        <w:tc>
          <w:tcPr>
            <w:tcW w:w="851" w:type="dxa"/>
            <w:shd w:val="clear" w:color="auto" w:fill="auto"/>
            <w:noWrap/>
          </w:tcPr>
          <w:p>
            <w:pPr>
              <w:spacing w:line="240" w:lineRule="auto"/>
              <w:jc w:val="center"/>
              <w:rPr>
                <w:rFonts w:hint="eastAsia"/>
                <w:sz w:val="19"/>
              </w:rPr>
            </w:pPr>
            <w:r>
              <w:rPr>
                <w:rFonts w:hint="eastAsia"/>
                <w:sz w:val="19"/>
              </w:rPr>
              <w:t>专用</w:t>
            </w:r>
          </w:p>
        </w:tc>
        <w:tc>
          <w:tcPr>
            <w:tcW w:w="567" w:type="dxa"/>
            <w:shd w:val="clear" w:color="auto" w:fill="auto"/>
            <w:noWrap/>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4</w:t>
            </w:r>
          </w:p>
        </w:tc>
        <w:tc>
          <w:tcPr>
            <w:tcW w:w="801" w:type="dxa"/>
            <w:shd w:val="clear" w:color="auto" w:fill="auto"/>
            <w:noWrap/>
            <w:vAlign w:val="center"/>
          </w:tcPr>
          <w:p>
            <w:pPr>
              <w:spacing w:line="240" w:lineRule="auto"/>
              <w:jc w:val="center"/>
              <w:rPr>
                <w:rFonts w:hint="eastAsia"/>
                <w:sz w:val="19"/>
              </w:rPr>
            </w:pPr>
          </w:p>
        </w:tc>
        <w:tc>
          <w:tcPr>
            <w:tcW w:w="752" w:type="dxa"/>
            <w:shd w:val="clear" w:color="auto" w:fill="auto"/>
            <w:noWrap/>
            <w:vAlign w:val="center"/>
          </w:tcPr>
          <w:p>
            <w:pPr>
              <w:spacing w:line="240" w:lineRule="auto"/>
              <w:jc w:val="center"/>
              <w:rPr>
                <w:rFonts w:hint="eastAsia"/>
                <w:sz w:val="19"/>
              </w:rPr>
            </w:pPr>
            <w:r>
              <w:rPr>
                <w:rFonts w:hint="eastAsia"/>
                <w:sz w:val="19"/>
              </w:rPr>
              <w:t>125.3572682</w:t>
            </w:r>
          </w:p>
        </w:tc>
        <w:tc>
          <w:tcPr>
            <w:tcW w:w="752" w:type="dxa"/>
            <w:shd w:val="clear" w:color="auto" w:fill="auto"/>
            <w:noWrap/>
            <w:vAlign w:val="center"/>
          </w:tcPr>
          <w:p>
            <w:pPr>
              <w:spacing w:line="240" w:lineRule="auto"/>
              <w:jc w:val="center"/>
              <w:rPr>
                <w:rFonts w:hint="eastAsia"/>
                <w:sz w:val="19"/>
              </w:rPr>
            </w:pPr>
            <w:r>
              <w:rPr>
                <w:rFonts w:hint="eastAsia"/>
                <w:sz w:val="19"/>
              </w:rPr>
              <w:t>41.26465248</w:t>
            </w:r>
          </w:p>
        </w:tc>
      </w:tr>
    </w:tbl>
    <w:p>
      <w:pPr>
        <w:rPr>
          <w:rFonts w:hint="eastAsia"/>
        </w:rPr>
      </w:pPr>
    </w:p>
    <w:sectPr>
      <w:type w:val="continuous"/>
      <w:pgSz w:w="16838" w:h="11906" w:orient="landscape"/>
      <w:pgMar w:top="1800" w:right="1440" w:bottom="1800" w:left="144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TimesNewRoman">
    <w:altName w:val="Times New Roman"/>
    <w:panose1 w:val="00000000000000000000"/>
    <w:charset w:val="00"/>
    <w:family w:val="roman"/>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 w:name="Arial">
    <w:panose1 w:val="020B0604020202020204"/>
    <w:charset w:val="00"/>
    <w:family w:val="swiss"/>
    <w:pitch w:val="default"/>
    <w:sig w:usb0="E0002AFF" w:usb1="C0007843" w:usb2="00000009" w:usb3="00000000" w:csb0="400001FF" w:csb1="FFFF0000"/>
  </w:font>
  <w:font w:name="Cambria">
    <w:panose1 w:val="02040503050406030204"/>
    <w:charset w:val="00"/>
    <w:family w:val="roman"/>
    <w:pitch w:val="default"/>
    <w:sig w:usb0="E00002FF" w:usb1="400004FF" w:usb2="00000000" w:usb3="00000000" w:csb0="2000019F" w:csb1="00000000"/>
  </w:font>
  <w:font w:name="等线 Light">
    <w:altName w:val="宋体"/>
    <w:panose1 w:val="02010600030101010101"/>
    <w:charset w:val="86"/>
    <w:family w:val="auto"/>
    <w:pitch w:val="default"/>
    <w:sig w:usb0="00000000" w:usb1="00000000" w:usb2="00000016" w:usb3="00000000" w:csb0="0004000F" w:csb1="00000000"/>
  </w:font>
  <w:font w:name="仿宋_GB2312">
    <w:altName w:val="仿宋"/>
    <w:panose1 w:val="00000000000000000000"/>
    <w:charset w:val="86"/>
    <w:family w:val="modern"/>
    <w:pitch w:val="default"/>
    <w:sig w:usb0="00000000" w:usb1="00000000" w:usb2="00000010" w:usb3="00000000" w:csb0="00040000" w:csb1="00000000"/>
  </w:font>
  <w:font w:name="等线">
    <w:altName w:val="微软雅黑"/>
    <w:panose1 w:val="02010600030101010101"/>
    <w:charset w:val="86"/>
    <w:family w:val="auto"/>
    <w:pitch w:val="default"/>
    <w:sig w:usb0="00000000" w:usb1="00000000" w:usb2="00000016" w:usb3="00000000" w:csb0="0004000F" w:csb1="00000000"/>
  </w:font>
  <w:font w:name="Courier New">
    <w:panose1 w:val="02070309020205020404"/>
    <w:charset w:val="00"/>
    <w:family w:val="modern"/>
    <w:pitch w:val="default"/>
    <w:sig w:usb0="E0002AFF" w:usb1="C0007843" w:usb2="00000009" w:usb3="00000000" w:csb0="400001FF" w:csb1="FFFF0000"/>
  </w:font>
  <w:font w:name="Arial Unicode MS">
    <w:altName w:val="宋体"/>
    <w:panose1 w:val="020B0604020202020204"/>
    <w:charset w:val="86"/>
    <w:family w:val="swiss"/>
    <w:pitch w:val="default"/>
    <w:sig w:usb0="00000000" w:usb1="00000000" w:usb2="0000007F" w:usb3="00000000" w:csb0="003F01FF" w:csb1="00000000"/>
  </w:font>
  <w:font w:name="方正仿宋_GBK">
    <w:altName w:val="微软雅黑"/>
    <w:panose1 w:val="00000000000000000000"/>
    <w:charset w:val="86"/>
    <w:family w:val="script"/>
    <w:pitch w:val="default"/>
    <w:sig w:usb0="00000000" w:usb1="00000000" w:usb2="00000010" w:usb3="00000000" w:csb0="00040000" w:csb1="00000000"/>
  </w:font>
  <w:font w:name="STXihei">
    <w:altName w:val="宋体"/>
    <w:panose1 w:val="00000000000000000000"/>
    <w:charset w:val="86"/>
    <w:family w:val="auto"/>
    <w:pitch w:val="default"/>
    <w:sig w:usb0="00000000" w:usb1="00000000" w:usb2="00000010" w:usb3="00000000" w:csb0="0004009F" w:csb1="00000000"/>
  </w:font>
  <w:font w:name="Tahoma">
    <w:panose1 w:val="020B0604030504040204"/>
    <w:charset w:val="00"/>
    <w:family w:val="swiss"/>
    <w:pitch w:val="default"/>
    <w:sig w:usb0="E1002EFF" w:usb1="C000605B" w:usb2="00000029" w:usb3="00000000" w:csb0="200101FF" w:csb1="20280000"/>
  </w:font>
  <w:font w:name="方正小标宋_GBK">
    <w:altName w:val="微软雅黑"/>
    <w:panose1 w:val="00000000000000000000"/>
    <w:charset w:val="86"/>
    <w:family w:val="script"/>
    <w:pitch w:val="default"/>
    <w:sig w:usb0="00000000" w:usb1="00000000" w:usb2="00000000" w:usb3="00000000" w:csb0="00040000" w:csb1="00000000"/>
  </w:font>
  <w:font w:name="Cambria Math">
    <w:panose1 w:val="02040503050406030204"/>
    <w:charset w:val="00"/>
    <w:family w:val="roman"/>
    <w:pitch w:val="default"/>
    <w:sig w:usb0="E00002FF" w:usb1="420024FF" w:usb2="00000000" w:usb3="00000000" w:csb0="2000019F" w:csb1="00000000"/>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微软雅黑">
    <w:panose1 w:val="020B0503020204020204"/>
    <w:charset w:val="86"/>
    <w:family w:val="auto"/>
    <w:pitch w:val="default"/>
    <w:sig w:usb0="80000287" w:usb1="280F3C52" w:usb2="00000016" w:usb3="00000000" w:csb0="0004001F" w:csb1="00000000"/>
  </w:font>
  <w:font w:name="等线">
    <w:altName w:val="微软雅黑"/>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framePr w:wrap="around" w:vAnchor="text" w:hAnchor="margin" w:xAlign="center" w:y="1"/>
      <w:rPr>
        <w:rStyle w:val="34"/>
        <w:rFonts w:hint="eastAsia"/>
      </w:rPr>
    </w:pPr>
    <w:r>
      <w:rPr>
        <w:rStyle w:val="34"/>
      </w:rPr>
      <w:fldChar w:fldCharType="begin"/>
    </w:r>
    <w:r>
      <w:rPr>
        <w:rStyle w:val="34"/>
      </w:rPr>
      <w:instrText xml:space="preserve"> PAGE </w:instrText>
    </w:r>
    <w:r>
      <w:rPr>
        <w:rStyle w:val="34"/>
      </w:rPr>
      <w:fldChar w:fldCharType="end"/>
    </w:r>
  </w:p>
  <w:p>
    <w:pPr>
      <w:pStyle w:val="20"/>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Fonts w:asciiTheme="majorHAnsi" w:hAnsiTheme="majorHAnsi" w:eastAsiaTheme="majorEastAsia" w:cstheme="majorBidi"/>
        <w:sz w:val="28"/>
        <w:szCs w:val="28"/>
        <w:lang w:val="zh-CN"/>
      </w:rPr>
      <w:id w:val="-2125072857"/>
    </w:sdtPr>
    <w:sdtEndPr>
      <w:rPr>
        <w:rFonts w:asciiTheme="majorHAnsi" w:hAnsiTheme="majorHAnsi" w:eastAsiaTheme="majorEastAsia" w:cstheme="majorBidi"/>
        <w:sz w:val="32"/>
        <w:szCs w:val="32"/>
        <w:lang w:val="zh-CN"/>
      </w:rPr>
    </w:sdtEndPr>
    <w:sdtContent>
      <w:p>
        <w:pPr>
          <w:pStyle w:val="20"/>
          <w:jc w:val="center"/>
          <w:rPr>
            <w:rFonts w:asciiTheme="majorHAnsi" w:hAnsiTheme="majorHAnsi" w:eastAsiaTheme="majorEastAsia" w:cstheme="majorBidi"/>
            <w:sz w:val="32"/>
            <w:szCs w:val="32"/>
          </w:rPr>
        </w:pPr>
        <w:r>
          <w:rPr>
            <w:rFonts w:asciiTheme="majorHAnsi" w:hAnsiTheme="majorHAnsi" w:eastAsiaTheme="majorEastAsia" w:cstheme="majorBidi"/>
            <w:sz w:val="32"/>
            <w:szCs w:val="32"/>
            <w:lang w:val="zh-CN"/>
          </w:rPr>
          <w:t xml:space="preserve">~ </w:t>
        </w:r>
        <w:r>
          <w:rPr>
            <w:rFonts w:asciiTheme="minorHAnsi" w:hAnsiTheme="minorHAnsi" w:eastAsiaTheme="minorEastAsia"/>
            <w:sz w:val="32"/>
            <w:szCs w:val="32"/>
          </w:rPr>
          <w:fldChar w:fldCharType="begin"/>
        </w:r>
        <w:r>
          <w:rPr>
            <w:sz w:val="32"/>
            <w:szCs w:val="32"/>
          </w:rPr>
          <w:instrText xml:space="preserve">PAGE    \* MERGEFORMAT</w:instrText>
        </w:r>
        <w:r>
          <w:rPr>
            <w:rFonts w:asciiTheme="minorHAnsi" w:hAnsiTheme="minorHAnsi" w:eastAsiaTheme="minorEastAsia"/>
            <w:sz w:val="32"/>
            <w:szCs w:val="32"/>
          </w:rPr>
          <w:fldChar w:fldCharType="separate"/>
        </w:r>
        <w:r>
          <w:rPr>
            <w:rFonts w:asciiTheme="majorHAnsi" w:hAnsiTheme="majorHAnsi" w:eastAsiaTheme="majorEastAsia" w:cstheme="majorBidi"/>
            <w:sz w:val="32"/>
            <w:szCs w:val="32"/>
            <w:lang w:val="zh-CN"/>
          </w:rPr>
          <w:t>2</w:t>
        </w:r>
        <w:r>
          <w:rPr>
            <w:rFonts w:asciiTheme="majorHAnsi" w:hAnsiTheme="majorHAnsi" w:eastAsiaTheme="majorEastAsia" w:cstheme="majorBidi"/>
            <w:sz w:val="32"/>
            <w:szCs w:val="32"/>
          </w:rPr>
          <w:fldChar w:fldCharType="end"/>
        </w:r>
        <w:r>
          <w:rPr>
            <w:rFonts w:asciiTheme="majorHAnsi" w:hAnsiTheme="majorHAnsi" w:eastAsiaTheme="majorEastAsia" w:cstheme="majorBidi"/>
            <w:sz w:val="32"/>
            <w:szCs w:val="32"/>
            <w:lang w:val="zh-CN"/>
          </w:rPr>
          <w:t xml:space="preserve"> ~</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4108726"/>
    </w:sdtPr>
    <w:sdtContent>
      <w:p>
        <w:pPr>
          <w:pStyle w:val="20"/>
          <w:jc w:val="center"/>
          <w:rPr>
            <w:rFonts w:hint="eastAsia"/>
          </w:rPr>
        </w:pPr>
        <w:r>
          <w:fldChar w:fldCharType="begin"/>
        </w:r>
        <w:r>
          <w:instrText xml:space="preserve">PAGE   \* MERGEFORMAT</w:instrText>
        </w:r>
        <w:r>
          <w:fldChar w:fldCharType="separate"/>
        </w:r>
        <w:r>
          <w:rPr>
            <w:lang w:val="zh-CN"/>
          </w:rPr>
          <w:t>2</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12"/>
    <w:multiLevelType w:val="multilevel"/>
    <w:tmpl w:val="00000012"/>
    <w:lvl w:ilvl="0" w:tentative="0">
      <w:start w:val="1"/>
      <w:numFmt w:val="chineseCountingThousand"/>
      <w:pStyle w:val="2"/>
      <w:suff w:val="nothing"/>
      <w:lvlText w:val="第%1章  "/>
      <w:lvlJc w:val="center"/>
      <w:pPr>
        <w:ind w:left="0" w:firstLine="0"/>
      </w:pPr>
      <w:rPr>
        <w:rFonts w:hint="eastAsia"/>
      </w:rPr>
    </w:lvl>
    <w:lvl w:ilvl="1" w:tentative="0">
      <w:start w:val="1"/>
      <w:numFmt w:val="decimal"/>
      <w:pStyle w:val="3"/>
      <w:isLgl/>
      <w:suff w:val="nothing"/>
      <w:lvlText w:val="%1.%2  "/>
      <w:lvlJc w:val="left"/>
      <w:pPr>
        <w:ind w:left="0" w:firstLine="0"/>
      </w:pPr>
      <w:rPr>
        <w:rFonts w:hint="default"/>
        <w:lang w:val="en-US"/>
      </w:rPr>
    </w:lvl>
    <w:lvl w:ilvl="2" w:tentative="0">
      <w:start w:val="1"/>
      <w:numFmt w:val="decimal"/>
      <w:pStyle w:val="4"/>
      <w:isLgl/>
      <w:suff w:val="nothing"/>
      <w:lvlText w:val="%1.%2.%3  "/>
      <w:lvlJc w:val="left"/>
      <w:pPr>
        <w:ind w:left="0" w:firstLine="0"/>
      </w:pPr>
      <w:rPr>
        <w:rFonts w:hint="eastAsia"/>
        <w:lang w:val="en-US"/>
      </w:rPr>
    </w:lvl>
    <w:lvl w:ilvl="3" w:tentative="0">
      <w:start w:val="1"/>
      <w:numFmt w:val="decimal"/>
      <w:pStyle w:val="5"/>
      <w:isLgl/>
      <w:suff w:val="nothing"/>
      <w:lvlText w:val="%4．"/>
      <w:lvlJc w:val="left"/>
      <w:pPr>
        <w:ind w:left="0" w:firstLine="0"/>
      </w:pPr>
      <w:rPr>
        <w:rFonts w:hint="eastAsia"/>
      </w:rPr>
    </w:lvl>
    <w:lvl w:ilvl="4" w:tentative="0">
      <w:start w:val="1"/>
      <w:numFmt w:val="decimal"/>
      <w:pStyle w:val="6"/>
      <w:isLgl/>
      <w:suff w:val="nothing"/>
      <w:lvlText w:val="（%5）"/>
      <w:lvlJc w:val="left"/>
      <w:pPr>
        <w:ind w:left="0" w:firstLine="0"/>
      </w:pPr>
      <w:rPr>
        <w:rFonts w:hint="eastAsia"/>
      </w:rPr>
    </w:lvl>
    <w:lvl w:ilvl="5" w:tentative="0">
      <w:start w:val="1"/>
      <w:numFmt w:val="decimal"/>
      <w:lvlRestart w:val="1"/>
      <w:pStyle w:val="7"/>
      <w:isLgl/>
      <w:suff w:val="nothing"/>
      <w:lvlText w:val="表%1-%6  "/>
      <w:lvlJc w:val="left"/>
      <w:pPr>
        <w:ind w:left="0" w:firstLine="0"/>
      </w:pPr>
      <w:rPr>
        <w:rFonts w:hint="eastAsia"/>
      </w:rPr>
    </w:lvl>
    <w:lvl w:ilvl="6" w:tentative="0">
      <w:start w:val="1"/>
      <w:numFmt w:val="decimal"/>
      <w:lvlRestart w:val="1"/>
      <w:pStyle w:val="8"/>
      <w:isLgl/>
      <w:suff w:val="nothing"/>
      <w:lvlText w:val="图%1-%7 "/>
      <w:lvlJc w:val="left"/>
      <w:pPr>
        <w:ind w:left="0" w:firstLine="0"/>
      </w:pPr>
      <w:rPr>
        <w:rFonts w:hint="eastAsia"/>
      </w:rPr>
    </w:lvl>
    <w:lvl w:ilvl="7" w:tentative="0">
      <w:start w:val="1"/>
      <w:numFmt w:val="none"/>
      <w:suff w:val="nothing"/>
      <w:lvlText w:val=""/>
      <w:lvlJc w:val="left"/>
      <w:pPr>
        <w:ind w:left="0" w:firstLine="0"/>
      </w:pPr>
      <w:rPr>
        <w:rFonts w:hint="eastAsia"/>
      </w:rPr>
    </w:lvl>
    <w:lvl w:ilvl="8" w:tentative="0">
      <w:start w:val="1"/>
      <w:numFmt w:val="none"/>
      <w:suff w:val="nothing"/>
      <w:lvlText w:val=""/>
      <w:lvlJc w:val="left"/>
      <w:pPr>
        <w:ind w:left="0" w:firstLine="0"/>
      </w:pPr>
      <w:rPr>
        <w:rFonts w:hint="eastAsia"/>
      </w:rPr>
    </w:lvl>
  </w:abstractNum>
  <w:abstractNum w:abstractNumId="1">
    <w:nsid w:val="14CF7966"/>
    <w:multiLevelType w:val="multilevel"/>
    <w:tmpl w:val="14CF7966"/>
    <w:lvl w:ilvl="0" w:tentative="0">
      <w:start w:val="1"/>
      <w:numFmt w:val="decimal"/>
      <w:suff w:val="space"/>
      <w:lvlText w:val="%1"/>
      <w:lvlJc w:val="left"/>
      <w:pPr>
        <w:ind w:left="0" w:firstLine="0"/>
      </w:pPr>
    </w:lvl>
    <w:lvl w:ilvl="1" w:tentative="0">
      <w:start w:val="1"/>
      <w:numFmt w:val="decimal"/>
      <w:pStyle w:val="244"/>
      <w:suff w:val="space"/>
      <w:lvlText w:val="%1.%2"/>
      <w:lvlJc w:val="left"/>
      <w:pPr>
        <w:ind w:left="0" w:firstLine="0"/>
      </w:pPr>
    </w:lvl>
    <w:lvl w:ilvl="2" w:tentative="0">
      <w:start w:val="1"/>
      <w:numFmt w:val="decimal"/>
      <w:suff w:val="space"/>
      <w:lvlText w:val="%1.%2.%3"/>
      <w:lvlJc w:val="left"/>
      <w:pPr>
        <w:ind w:left="0" w:firstLine="0"/>
      </w:pPr>
    </w:lvl>
    <w:lvl w:ilvl="3" w:tentative="0">
      <w:start w:val="1"/>
      <w:numFmt w:val="decimal"/>
      <w:suff w:val="space"/>
      <w:lvlText w:val="（%4）"/>
      <w:lvlJc w:val="left"/>
      <w:pPr>
        <w:ind w:left="0" w:firstLine="0"/>
      </w:pPr>
    </w:lvl>
    <w:lvl w:ilvl="4" w:tentative="0">
      <w:start w:val="1"/>
      <w:numFmt w:val="decimal"/>
      <w:lvlText w:val="%1.%2.%3.%4.%5"/>
      <w:lvlJc w:val="left"/>
      <w:pPr>
        <w:ind w:left="0" w:firstLine="0"/>
      </w:pPr>
    </w:lvl>
    <w:lvl w:ilvl="5" w:tentative="0">
      <w:start w:val="1"/>
      <w:numFmt w:val="decimal"/>
      <w:lvlText w:val="%1.%2.%3.%4.%5.%6"/>
      <w:lvlJc w:val="left"/>
      <w:pPr>
        <w:ind w:left="0" w:firstLine="0"/>
      </w:pPr>
    </w:lvl>
    <w:lvl w:ilvl="6" w:tentative="0">
      <w:start w:val="1"/>
      <w:numFmt w:val="decimal"/>
      <w:lvlRestart w:val="1"/>
      <w:pStyle w:val="240"/>
      <w:isLgl/>
      <w:suff w:val="space"/>
      <w:lvlText w:val="表%1-%7"/>
      <w:lvlJc w:val="left"/>
      <w:pPr>
        <w:ind w:left="0" w:firstLine="0"/>
      </w:pPr>
      <w:rPr>
        <w:lang w:val="en-US"/>
      </w:rPr>
    </w:lvl>
    <w:lvl w:ilvl="7" w:tentative="0">
      <w:start w:val="1"/>
      <w:numFmt w:val="decimal"/>
      <w:lvlRestart w:val="1"/>
      <w:suff w:val="space"/>
      <w:lvlText w:val="图%1-%8"/>
      <w:lvlJc w:val="left"/>
      <w:pPr>
        <w:snapToGrid w:val="0"/>
        <w:ind w:left="0" w:firstLine="0"/>
      </w:pPr>
      <w:rPr>
        <w:rFonts w:ascii="Times New Roman" w:hAnsi="Times New Roman" w:cs="Times New Roman"/>
        <w:b w:val="0"/>
        <w:bCs w:val="0"/>
        <w:i w:val="0"/>
        <w:iCs w:val="0"/>
        <w:caps w:val="0"/>
        <w:smallCaps w:val="0"/>
        <w:strike w:val="0"/>
        <w:dstrike w:val="0"/>
        <w:vanish w:val="0"/>
        <w:color w:val="000000"/>
        <w:spacing w:val="0"/>
        <w:w w:val="1"/>
        <w:kern w:val="0"/>
        <w:position w:val="0"/>
        <w:sz w:val="2"/>
        <w:szCs w:val="2"/>
        <w:u w:val="none" w:color="000000"/>
        <w:shd w:val="clear" w:color="auto" w:fill="000000"/>
        <w:vertAlign w:val="baseline"/>
        <w:lang w:val="zh-CN" w:eastAsia="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rPr>
    </w:lvl>
    <w:lvl w:ilvl="8" w:tentative="0">
      <w:start w:val="1"/>
      <w:numFmt w:val="decimal"/>
      <w:lvlRestart w:val="1"/>
      <w:suff w:val="space"/>
      <w:lvlText w:val="图%1-%9"/>
      <w:lvlJc w:val="left"/>
      <w:pPr>
        <w:ind w:left="0" w:firstLine="0"/>
      </w:pPr>
      <w:rPr>
        <w:b/>
        <w:bCs/>
      </w:rPr>
    </w:lvl>
  </w:abstractNum>
  <w:abstractNum w:abstractNumId="2">
    <w:nsid w:val="16044D1B"/>
    <w:multiLevelType w:val="multilevel"/>
    <w:tmpl w:val="16044D1B"/>
    <w:lvl w:ilvl="0" w:tentative="0">
      <w:start w:val="1"/>
      <w:numFmt w:val="decimal"/>
      <w:suff w:val="nothing"/>
      <w:lvlText w:val="（%1）"/>
      <w:lvlJc w:val="left"/>
      <w:pPr>
        <w:ind w:left="1000" w:hanging="440"/>
      </w:pPr>
      <w:rPr>
        <w:rFonts w:hint="eastAsia"/>
      </w:rPr>
    </w:lvl>
    <w:lvl w:ilvl="1" w:tentative="0">
      <w:start w:val="1"/>
      <w:numFmt w:val="decimal"/>
      <w:suff w:val="nothing"/>
      <w:lvlText w:val="%2、"/>
      <w:lvlJc w:val="left"/>
      <w:pPr>
        <w:ind w:left="1720" w:hanging="720"/>
      </w:pPr>
      <w:rPr>
        <w:rFonts w:hint="default"/>
      </w:rPr>
    </w:lvl>
    <w:lvl w:ilvl="2" w:tentative="0">
      <w:start w:val="1"/>
      <w:numFmt w:val="lowerRoman"/>
      <w:lvlText w:val="%3."/>
      <w:lvlJc w:val="right"/>
      <w:pPr>
        <w:ind w:left="1880" w:hanging="440"/>
      </w:pPr>
    </w:lvl>
    <w:lvl w:ilvl="3" w:tentative="0">
      <w:start w:val="1"/>
      <w:numFmt w:val="decimal"/>
      <w:lvlText w:val="%4."/>
      <w:lvlJc w:val="left"/>
      <w:pPr>
        <w:ind w:left="2320" w:hanging="440"/>
      </w:pPr>
    </w:lvl>
    <w:lvl w:ilvl="4" w:tentative="0">
      <w:start w:val="1"/>
      <w:numFmt w:val="lowerLetter"/>
      <w:lvlText w:val="%5)"/>
      <w:lvlJc w:val="left"/>
      <w:pPr>
        <w:ind w:left="2760" w:hanging="440"/>
      </w:pPr>
    </w:lvl>
    <w:lvl w:ilvl="5" w:tentative="0">
      <w:start w:val="1"/>
      <w:numFmt w:val="lowerRoman"/>
      <w:lvlText w:val="%6."/>
      <w:lvlJc w:val="right"/>
      <w:pPr>
        <w:ind w:left="3200" w:hanging="440"/>
      </w:pPr>
    </w:lvl>
    <w:lvl w:ilvl="6" w:tentative="0">
      <w:start w:val="1"/>
      <w:numFmt w:val="decimal"/>
      <w:lvlText w:val="%7."/>
      <w:lvlJc w:val="left"/>
      <w:pPr>
        <w:ind w:left="3640" w:hanging="440"/>
      </w:pPr>
    </w:lvl>
    <w:lvl w:ilvl="7" w:tentative="0">
      <w:start w:val="1"/>
      <w:numFmt w:val="lowerLetter"/>
      <w:lvlText w:val="%8)"/>
      <w:lvlJc w:val="left"/>
      <w:pPr>
        <w:ind w:left="4080" w:hanging="440"/>
      </w:pPr>
    </w:lvl>
    <w:lvl w:ilvl="8" w:tentative="0">
      <w:start w:val="1"/>
      <w:numFmt w:val="lowerRoman"/>
      <w:lvlText w:val="%9."/>
      <w:lvlJc w:val="right"/>
      <w:pPr>
        <w:ind w:left="4520" w:hanging="440"/>
      </w:pPr>
    </w:lvl>
  </w:abstractNum>
  <w:abstractNum w:abstractNumId="3">
    <w:nsid w:val="1A6C6A38"/>
    <w:multiLevelType w:val="multilevel"/>
    <w:tmpl w:val="1A6C6A38"/>
    <w:lvl w:ilvl="0" w:tentative="0">
      <w:start w:val="1"/>
      <w:numFmt w:val="decimal"/>
      <w:suff w:val="nothing"/>
      <w:lvlText w:val="（%1）"/>
      <w:lvlJc w:val="left"/>
      <w:pPr>
        <w:ind w:left="1000" w:hanging="440"/>
      </w:pPr>
      <w:rPr>
        <w:rFonts w:hint="eastAsia"/>
      </w:rPr>
    </w:lvl>
    <w:lvl w:ilvl="1" w:tentative="0">
      <w:start w:val="1"/>
      <w:numFmt w:val="lowerLetter"/>
      <w:lvlText w:val="%2)"/>
      <w:lvlJc w:val="left"/>
      <w:pPr>
        <w:ind w:left="1440" w:hanging="440"/>
      </w:pPr>
    </w:lvl>
    <w:lvl w:ilvl="2" w:tentative="0">
      <w:start w:val="1"/>
      <w:numFmt w:val="lowerRoman"/>
      <w:lvlText w:val="%3."/>
      <w:lvlJc w:val="right"/>
      <w:pPr>
        <w:ind w:left="1880" w:hanging="440"/>
      </w:pPr>
    </w:lvl>
    <w:lvl w:ilvl="3" w:tentative="0">
      <w:start w:val="1"/>
      <w:numFmt w:val="decimal"/>
      <w:lvlText w:val="%4."/>
      <w:lvlJc w:val="left"/>
      <w:pPr>
        <w:ind w:left="2320" w:hanging="440"/>
      </w:pPr>
    </w:lvl>
    <w:lvl w:ilvl="4" w:tentative="0">
      <w:start w:val="1"/>
      <w:numFmt w:val="lowerLetter"/>
      <w:lvlText w:val="%5)"/>
      <w:lvlJc w:val="left"/>
      <w:pPr>
        <w:ind w:left="2760" w:hanging="440"/>
      </w:pPr>
    </w:lvl>
    <w:lvl w:ilvl="5" w:tentative="0">
      <w:start w:val="1"/>
      <w:numFmt w:val="lowerRoman"/>
      <w:lvlText w:val="%6."/>
      <w:lvlJc w:val="right"/>
      <w:pPr>
        <w:ind w:left="3200" w:hanging="440"/>
      </w:pPr>
    </w:lvl>
    <w:lvl w:ilvl="6" w:tentative="0">
      <w:start w:val="1"/>
      <w:numFmt w:val="decimal"/>
      <w:lvlText w:val="%7."/>
      <w:lvlJc w:val="left"/>
      <w:pPr>
        <w:ind w:left="3640" w:hanging="440"/>
      </w:pPr>
    </w:lvl>
    <w:lvl w:ilvl="7" w:tentative="0">
      <w:start w:val="1"/>
      <w:numFmt w:val="lowerLetter"/>
      <w:lvlText w:val="%8)"/>
      <w:lvlJc w:val="left"/>
      <w:pPr>
        <w:ind w:left="4080" w:hanging="440"/>
      </w:pPr>
    </w:lvl>
    <w:lvl w:ilvl="8" w:tentative="0">
      <w:start w:val="1"/>
      <w:numFmt w:val="lowerRoman"/>
      <w:lvlText w:val="%9."/>
      <w:lvlJc w:val="right"/>
      <w:pPr>
        <w:ind w:left="4520" w:hanging="440"/>
      </w:pPr>
    </w:lvl>
  </w:abstractNum>
  <w:abstractNum w:abstractNumId="4">
    <w:nsid w:val="418D000E"/>
    <w:multiLevelType w:val="multilevel"/>
    <w:tmpl w:val="418D000E"/>
    <w:lvl w:ilvl="0" w:tentative="0">
      <w:start w:val="1"/>
      <w:numFmt w:val="decimal"/>
      <w:suff w:val="nothing"/>
      <w:lvlText w:val="（%1）"/>
      <w:lvlJc w:val="left"/>
      <w:pPr>
        <w:ind w:left="1000" w:hanging="440"/>
      </w:pPr>
      <w:rPr>
        <w:rFonts w:hint="eastAsia"/>
      </w:rPr>
    </w:lvl>
    <w:lvl w:ilvl="1" w:tentative="0">
      <w:start w:val="1"/>
      <w:numFmt w:val="decimal"/>
      <w:suff w:val="nothing"/>
      <w:lvlText w:val="%2、"/>
      <w:lvlJc w:val="left"/>
      <w:pPr>
        <w:ind w:left="1720" w:hanging="720"/>
      </w:pPr>
      <w:rPr>
        <w:rFonts w:hint="default"/>
      </w:rPr>
    </w:lvl>
    <w:lvl w:ilvl="2" w:tentative="0">
      <w:start w:val="1"/>
      <w:numFmt w:val="lowerRoman"/>
      <w:lvlText w:val="%3."/>
      <w:lvlJc w:val="right"/>
      <w:pPr>
        <w:ind w:left="1880" w:hanging="440"/>
      </w:pPr>
    </w:lvl>
    <w:lvl w:ilvl="3" w:tentative="0">
      <w:start w:val="1"/>
      <w:numFmt w:val="decimal"/>
      <w:lvlText w:val="%4."/>
      <w:lvlJc w:val="left"/>
      <w:pPr>
        <w:ind w:left="2320" w:hanging="440"/>
      </w:pPr>
    </w:lvl>
    <w:lvl w:ilvl="4" w:tentative="0">
      <w:start w:val="1"/>
      <w:numFmt w:val="lowerLetter"/>
      <w:lvlText w:val="%5)"/>
      <w:lvlJc w:val="left"/>
      <w:pPr>
        <w:ind w:left="2760" w:hanging="440"/>
      </w:pPr>
    </w:lvl>
    <w:lvl w:ilvl="5" w:tentative="0">
      <w:start w:val="1"/>
      <w:numFmt w:val="lowerRoman"/>
      <w:lvlText w:val="%6."/>
      <w:lvlJc w:val="right"/>
      <w:pPr>
        <w:ind w:left="3200" w:hanging="440"/>
      </w:pPr>
    </w:lvl>
    <w:lvl w:ilvl="6" w:tentative="0">
      <w:start w:val="1"/>
      <w:numFmt w:val="decimal"/>
      <w:lvlText w:val="%7."/>
      <w:lvlJc w:val="left"/>
      <w:pPr>
        <w:ind w:left="3640" w:hanging="440"/>
      </w:pPr>
    </w:lvl>
    <w:lvl w:ilvl="7" w:tentative="0">
      <w:start w:val="1"/>
      <w:numFmt w:val="lowerLetter"/>
      <w:lvlText w:val="%8)"/>
      <w:lvlJc w:val="left"/>
      <w:pPr>
        <w:ind w:left="4080" w:hanging="440"/>
      </w:pPr>
    </w:lvl>
    <w:lvl w:ilvl="8" w:tentative="0">
      <w:start w:val="1"/>
      <w:numFmt w:val="lowerRoman"/>
      <w:lvlText w:val="%9."/>
      <w:lvlJc w:val="right"/>
      <w:pPr>
        <w:ind w:left="4520" w:hanging="440"/>
      </w:pPr>
    </w:lvl>
  </w:abstractNum>
  <w:abstractNum w:abstractNumId="5">
    <w:nsid w:val="441645F0"/>
    <w:multiLevelType w:val="multilevel"/>
    <w:tmpl w:val="441645F0"/>
    <w:lvl w:ilvl="0" w:tentative="0">
      <w:start w:val="1"/>
      <w:numFmt w:val="decimal"/>
      <w:suff w:val="nothing"/>
      <w:lvlText w:val="%1、"/>
      <w:lvlJc w:val="left"/>
      <w:pPr>
        <w:ind w:left="980" w:hanging="420"/>
      </w:pPr>
      <w:rPr>
        <w:rFonts w:hint="eastAsia"/>
      </w:rPr>
    </w:lvl>
    <w:lvl w:ilvl="1" w:tentative="0">
      <w:start w:val="1"/>
      <w:numFmt w:val="decimalEnclosedCircle"/>
      <w:lvlText w:val="%2"/>
      <w:lvlJc w:val="left"/>
      <w:pPr>
        <w:ind w:left="1340" w:hanging="360"/>
      </w:pPr>
      <w:rPr>
        <w:rFonts w:hint="default"/>
      </w:r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6">
    <w:nsid w:val="52EE3140"/>
    <w:multiLevelType w:val="multilevel"/>
    <w:tmpl w:val="52EE3140"/>
    <w:lvl w:ilvl="0" w:tentative="0">
      <w:start w:val="1"/>
      <w:numFmt w:val="chineseCountingThousand"/>
      <w:suff w:val="nothing"/>
      <w:lvlText w:val="第%1章  "/>
      <w:lvlJc w:val="center"/>
      <w:pPr>
        <w:ind w:left="0" w:firstLine="0"/>
      </w:pPr>
      <w:rPr>
        <w:rFonts w:hint="eastAsia"/>
      </w:rPr>
    </w:lvl>
    <w:lvl w:ilvl="1" w:tentative="0">
      <w:start w:val="1"/>
      <w:numFmt w:val="decimal"/>
      <w:isLgl/>
      <w:suff w:val="nothing"/>
      <w:lvlText w:val="%1.%2  "/>
      <w:lvlJc w:val="left"/>
      <w:pPr>
        <w:ind w:left="0" w:firstLine="0"/>
      </w:pPr>
      <w:rPr>
        <w:rFonts w:hint="default"/>
        <w:lang w:val="en-US"/>
      </w:rPr>
    </w:lvl>
    <w:lvl w:ilvl="2" w:tentative="0">
      <w:start w:val="1"/>
      <w:numFmt w:val="decimal"/>
      <w:isLgl/>
      <w:suff w:val="nothing"/>
      <w:lvlText w:val="%1.%2.%3  "/>
      <w:lvlJc w:val="left"/>
      <w:pPr>
        <w:ind w:left="0" w:firstLine="0"/>
      </w:pPr>
      <w:rPr>
        <w:rFonts w:hint="eastAsia"/>
        <w:lang w:val="en-US"/>
      </w:rPr>
    </w:lvl>
    <w:lvl w:ilvl="3" w:tentative="0">
      <w:start w:val="1"/>
      <w:numFmt w:val="decimal"/>
      <w:isLgl/>
      <w:suff w:val="nothing"/>
      <w:lvlText w:val="%4．"/>
      <w:lvlJc w:val="left"/>
      <w:pPr>
        <w:ind w:left="0" w:firstLine="0"/>
      </w:pPr>
      <w:rPr>
        <w:rFonts w:hint="eastAsia"/>
      </w:rPr>
    </w:lvl>
    <w:lvl w:ilvl="4" w:tentative="0">
      <w:start w:val="1"/>
      <w:numFmt w:val="decimal"/>
      <w:lvlText w:val="%5."/>
      <w:lvlJc w:val="left"/>
      <w:pPr>
        <w:ind w:left="440" w:hanging="440"/>
      </w:pPr>
    </w:lvl>
    <w:lvl w:ilvl="5" w:tentative="0">
      <w:start w:val="1"/>
      <w:numFmt w:val="decimal"/>
      <w:lvlRestart w:val="1"/>
      <w:isLgl/>
      <w:suff w:val="nothing"/>
      <w:lvlText w:val="表%1-%6  "/>
      <w:lvlJc w:val="left"/>
      <w:pPr>
        <w:ind w:left="0" w:firstLine="0"/>
      </w:pPr>
      <w:rPr>
        <w:rFonts w:hint="eastAsia"/>
      </w:rPr>
    </w:lvl>
    <w:lvl w:ilvl="6" w:tentative="0">
      <w:start w:val="1"/>
      <w:numFmt w:val="decimal"/>
      <w:lvlRestart w:val="1"/>
      <w:isLgl/>
      <w:suff w:val="nothing"/>
      <w:lvlText w:val="图%1-%7 "/>
      <w:lvlJc w:val="left"/>
      <w:pPr>
        <w:ind w:left="0" w:firstLine="0"/>
      </w:pPr>
      <w:rPr>
        <w:rFonts w:hint="eastAsia"/>
      </w:rPr>
    </w:lvl>
    <w:lvl w:ilvl="7" w:tentative="0">
      <w:start w:val="1"/>
      <w:numFmt w:val="none"/>
      <w:suff w:val="nothing"/>
      <w:lvlText w:val=""/>
      <w:lvlJc w:val="left"/>
      <w:pPr>
        <w:ind w:left="0" w:firstLine="0"/>
      </w:pPr>
      <w:rPr>
        <w:rFonts w:hint="eastAsia"/>
      </w:rPr>
    </w:lvl>
    <w:lvl w:ilvl="8" w:tentative="0">
      <w:start w:val="1"/>
      <w:numFmt w:val="none"/>
      <w:suff w:val="nothing"/>
      <w:lvlText w:val=""/>
      <w:lvlJc w:val="left"/>
      <w:pPr>
        <w:ind w:left="0" w:firstLine="0"/>
      </w:pPr>
      <w:rPr>
        <w:rFonts w:hint="eastAsia"/>
      </w:rPr>
    </w:lvl>
  </w:abstractNum>
  <w:abstractNum w:abstractNumId="7">
    <w:nsid w:val="646958D2"/>
    <w:multiLevelType w:val="multilevel"/>
    <w:tmpl w:val="646958D2"/>
    <w:lvl w:ilvl="0" w:tentative="0">
      <w:start w:val="1"/>
      <w:numFmt w:val="bullet"/>
      <w:lvlText w:val=""/>
      <w:lvlJc w:val="left"/>
      <w:pPr>
        <w:ind w:left="989" w:hanging="420"/>
      </w:pPr>
      <w:rPr>
        <w:rFonts w:hint="default" w:ascii="Wingdings" w:hAnsi="Wingdings"/>
      </w:rPr>
    </w:lvl>
    <w:lvl w:ilvl="1" w:tentative="0">
      <w:start w:val="1"/>
      <w:numFmt w:val="bullet"/>
      <w:lvlText w:val=""/>
      <w:lvlJc w:val="left"/>
      <w:pPr>
        <w:ind w:left="1409" w:hanging="420"/>
      </w:pPr>
      <w:rPr>
        <w:rFonts w:hint="default" w:ascii="Wingdings" w:hAnsi="Wingdings"/>
      </w:rPr>
    </w:lvl>
    <w:lvl w:ilvl="2" w:tentative="0">
      <w:start w:val="1"/>
      <w:numFmt w:val="bullet"/>
      <w:lvlText w:val=""/>
      <w:lvlJc w:val="left"/>
      <w:pPr>
        <w:ind w:left="1829" w:hanging="420"/>
      </w:pPr>
      <w:rPr>
        <w:rFonts w:hint="default" w:ascii="Wingdings" w:hAnsi="Wingdings"/>
      </w:rPr>
    </w:lvl>
    <w:lvl w:ilvl="3" w:tentative="0">
      <w:start w:val="1"/>
      <w:numFmt w:val="bullet"/>
      <w:lvlText w:val=""/>
      <w:lvlJc w:val="left"/>
      <w:pPr>
        <w:ind w:left="2249" w:hanging="420"/>
      </w:pPr>
      <w:rPr>
        <w:rFonts w:hint="default" w:ascii="Wingdings" w:hAnsi="Wingdings"/>
      </w:rPr>
    </w:lvl>
    <w:lvl w:ilvl="4" w:tentative="0">
      <w:start w:val="1"/>
      <w:numFmt w:val="bullet"/>
      <w:lvlText w:val=""/>
      <w:lvlJc w:val="left"/>
      <w:pPr>
        <w:ind w:left="2669" w:hanging="420"/>
      </w:pPr>
      <w:rPr>
        <w:rFonts w:hint="default" w:ascii="Wingdings" w:hAnsi="Wingdings"/>
      </w:rPr>
    </w:lvl>
    <w:lvl w:ilvl="5" w:tentative="0">
      <w:start w:val="1"/>
      <w:numFmt w:val="bullet"/>
      <w:lvlText w:val=""/>
      <w:lvlJc w:val="left"/>
      <w:pPr>
        <w:ind w:left="3089" w:hanging="420"/>
      </w:pPr>
      <w:rPr>
        <w:rFonts w:hint="default" w:ascii="Wingdings" w:hAnsi="Wingdings"/>
      </w:rPr>
    </w:lvl>
    <w:lvl w:ilvl="6" w:tentative="0">
      <w:start w:val="1"/>
      <w:numFmt w:val="bullet"/>
      <w:lvlText w:val=""/>
      <w:lvlJc w:val="left"/>
      <w:pPr>
        <w:ind w:left="3509" w:hanging="420"/>
      </w:pPr>
      <w:rPr>
        <w:rFonts w:hint="default" w:ascii="Wingdings" w:hAnsi="Wingdings"/>
      </w:rPr>
    </w:lvl>
    <w:lvl w:ilvl="7" w:tentative="0">
      <w:start w:val="1"/>
      <w:numFmt w:val="bullet"/>
      <w:lvlText w:val=""/>
      <w:lvlJc w:val="left"/>
      <w:pPr>
        <w:ind w:left="3929" w:hanging="420"/>
      </w:pPr>
      <w:rPr>
        <w:rFonts w:hint="default" w:ascii="Wingdings" w:hAnsi="Wingdings"/>
      </w:rPr>
    </w:lvl>
    <w:lvl w:ilvl="8" w:tentative="0">
      <w:start w:val="1"/>
      <w:numFmt w:val="bullet"/>
      <w:lvlText w:val=""/>
      <w:lvlJc w:val="left"/>
      <w:pPr>
        <w:ind w:left="4349" w:hanging="420"/>
      </w:pPr>
      <w:rPr>
        <w:rFonts w:hint="default" w:ascii="Wingdings" w:hAnsi="Wingdings"/>
      </w:rPr>
    </w:lvl>
  </w:abstractNum>
  <w:abstractNum w:abstractNumId="8">
    <w:nsid w:val="681B0E3F"/>
    <w:multiLevelType w:val="multilevel"/>
    <w:tmpl w:val="681B0E3F"/>
    <w:lvl w:ilvl="0" w:tentative="0">
      <w:start w:val="1"/>
      <w:numFmt w:val="chineseCountingThousand"/>
      <w:suff w:val="nothing"/>
      <w:lvlText w:val="第%1章  "/>
      <w:lvlJc w:val="center"/>
      <w:pPr>
        <w:ind w:left="0" w:firstLine="0"/>
      </w:pPr>
      <w:rPr>
        <w:rFonts w:hint="eastAsia"/>
      </w:rPr>
    </w:lvl>
    <w:lvl w:ilvl="1" w:tentative="0">
      <w:start w:val="1"/>
      <w:numFmt w:val="decimal"/>
      <w:isLgl/>
      <w:suff w:val="nothing"/>
      <w:lvlText w:val="%1.%2  "/>
      <w:lvlJc w:val="left"/>
      <w:pPr>
        <w:ind w:left="0" w:firstLine="0"/>
      </w:pPr>
      <w:rPr>
        <w:rFonts w:hint="default"/>
        <w:lang w:val="en-US"/>
      </w:rPr>
    </w:lvl>
    <w:lvl w:ilvl="2" w:tentative="0">
      <w:start w:val="1"/>
      <w:numFmt w:val="decimal"/>
      <w:isLgl/>
      <w:suff w:val="nothing"/>
      <w:lvlText w:val="%1.%2.%3  "/>
      <w:lvlJc w:val="left"/>
      <w:pPr>
        <w:ind w:left="0" w:firstLine="0"/>
      </w:pPr>
      <w:rPr>
        <w:rFonts w:hint="eastAsia"/>
        <w:lang w:val="en-US"/>
      </w:rPr>
    </w:lvl>
    <w:lvl w:ilvl="3" w:tentative="0">
      <w:start w:val="1"/>
      <w:numFmt w:val="decimal"/>
      <w:isLgl/>
      <w:suff w:val="nothing"/>
      <w:lvlText w:val="%4．"/>
      <w:lvlJc w:val="left"/>
      <w:pPr>
        <w:ind w:left="0" w:firstLine="0"/>
      </w:pPr>
      <w:rPr>
        <w:rFonts w:hint="eastAsia"/>
      </w:rPr>
    </w:lvl>
    <w:lvl w:ilvl="4" w:tentative="0">
      <w:start w:val="1"/>
      <w:numFmt w:val="decimal"/>
      <w:lvlText w:val="%5."/>
      <w:lvlJc w:val="left"/>
      <w:pPr>
        <w:ind w:left="440" w:hanging="440"/>
      </w:pPr>
    </w:lvl>
    <w:lvl w:ilvl="5" w:tentative="0">
      <w:start w:val="1"/>
      <w:numFmt w:val="decimal"/>
      <w:lvlRestart w:val="1"/>
      <w:isLgl/>
      <w:suff w:val="nothing"/>
      <w:lvlText w:val="表%1-%6  "/>
      <w:lvlJc w:val="left"/>
      <w:pPr>
        <w:ind w:left="0" w:firstLine="0"/>
      </w:pPr>
      <w:rPr>
        <w:rFonts w:hint="eastAsia"/>
      </w:rPr>
    </w:lvl>
    <w:lvl w:ilvl="6" w:tentative="0">
      <w:start w:val="1"/>
      <w:numFmt w:val="decimal"/>
      <w:lvlRestart w:val="1"/>
      <w:isLgl/>
      <w:suff w:val="nothing"/>
      <w:lvlText w:val="图%1-%7 "/>
      <w:lvlJc w:val="left"/>
      <w:pPr>
        <w:ind w:left="0" w:firstLine="0"/>
      </w:pPr>
      <w:rPr>
        <w:rFonts w:hint="eastAsia"/>
      </w:rPr>
    </w:lvl>
    <w:lvl w:ilvl="7" w:tentative="0">
      <w:start w:val="1"/>
      <w:numFmt w:val="none"/>
      <w:suff w:val="nothing"/>
      <w:lvlText w:val=""/>
      <w:lvlJc w:val="left"/>
      <w:pPr>
        <w:ind w:left="0" w:firstLine="0"/>
      </w:pPr>
      <w:rPr>
        <w:rFonts w:hint="eastAsia"/>
      </w:rPr>
    </w:lvl>
    <w:lvl w:ilvl="8" w:tentative="0">
      <w:start w:val="1"/>
      <w:numFmt w:val="none"/>
      <w:suff w:val="nothing"/>
      <w:lvlText w:val=""/>
      <w:lvlJc w:val="left"/>
      <w:pPr>
        <w:ind w:left="0" w:firstLine="0"/>
      </w:pPr>
      <w:rPr>
        <w:rFonts w:hint="eastAsia"/>
      </w:rPr>
    </w:lvl>
  </w:abstractNum>
  <w:abstractNum w:abstractNumId="9">
    <w:nsid w:val="687405C8"/>
    <w:multiLevelType w:val="multilevel"/>
    <w:tmpl w:val="687405C8"/>
    <w:lvl w:ilvl="0" w:tentative="0">
      <w:start w:val="1"/>
      <w:numFmt w:val="decimal"/>
      <w:lvlText w:val="%1、"/>
      <w:lvlJc w:val="left"/>
      <w:pPr>
        <w:ind w:left="1000" w:hanging="440"/>
      </w:pPr>
      <w:rPr>
        <w:rFonts w:hint="eastAsia"/>
      </w:rPr>
    </w:lvl>
    <w:lvl w:ilvl="1" w:tentative="0">
      <w:start w:val="1"/>
      <w:numFmt w:val="lowerLetter"/>
      <w:lvlText w:val="%2)"/>
      <w:lvlJc w:val="left"/>
      <w:pPr>
        <w:ind w:left="1440" w:hanging="440"/>
      </w:pPr>
    </w:lvl>
    <w:lvl w:ilvl="2" w:tentative="0">
      <w:start w:val="1"/>
      <w:numFmt w:val="lowerRoman"/>
      <w:lvlText w:val="%3."/>
      <w:lvlJc w:val="right"/>
      <w:pPr>
        <w:ind w:left="1880" w:hanging="440"/>
      </w:pPr>
    </w:lvl>
    <w:lvl w:ilvl="3" w:tentative="0">
      <w:start w:val="1"/>
      <w:numFmt w:val="decimal"/>
      <w:lvlText w:val="%4."/>
      <w:lvlJc w:val="left"/>
      <w:pPr>
        <w:ind w:left="2320" w:hanging="440"/>
      </w:pPr>
    </w:lvl>
    <w:lvl w:ilvl="4" w:tentative="0">
      <w:start w:val="1"/>
      <w:numFmt w:val="lowerLetter"/>
      <w:lvlText w:val="%5)"/>
      <w:lvlJc w:val="left"/>
      <w:pPr>
        <w:ind w:left="2760" w:hanging="440"/>
      </w:pPr>
    </w:lvl>
    <w:lvl w:ilvl="5" w:tentative="0">
      <w:start w:val="1"/>
      <w:numFmt w:val="lowerRoman"/>
      <w:lvlText w:val="%6."/>
      <w:lvlJc w:val="right"/>
      <w:pPr>
        <w:ind w:left="3200" w:hanging="440"/>
      </w:pPr>
    </w:lvl>
    <w:lvl w:ilvl="6" w:tentative="0">
      <w:start w:val="1"/>
      <w:numFmt w:val="decimal"/>
      <w:lvlText w:val="%7."/>
      <w:lvlJc w:val="left"/>
      <w:pPr>
        <w:ind w:left="3640" w:hanging="440"/>
      </w:pPr>
    </w:lvl>
    <w:lvl w:ilvl="7" w:tentative="0">
      <w:start w:val="1"/>
      <w:numFmt w:val="lowerLetter"/>
      <w:lvlText w:val="%8)"/>
      <w:lvlJc w:val="left"/>
      <w:pPr>
        <w:ind w:left="4080" w:hanging="440"/>
      </w:pPr>
    </w:lvl>
    <w:lvl w:ilvl="8" w:tentative="0">
      <w:start w:val="1"/>
      <w:numFmt w:val="lowerRoman"/>
      <w:lvlText w:val="%9."/>
      <w:lvlJc w:val="right"/>
      <w:pPr>
        <w:ind w:left="4520" w:hanging="440"/>
      </w:pPr>
    </w:lvl>
  </w:abstractNum>
  <w:num w:numId="1">
    <w:abstractNumId w:val="0"/>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
  </w:num>
  <w:num w:numId="4">
    <w:abstractNumId w:val="3"/>
  </w:num>
  <w:num w:numId="5">
    <w:abstractNumId w:val="4"/>
  </w:num>
  <w:num w:numId="6">
    <w:abstractNumId w:val="2"/>
  </w:num>
  <w:num w:numId="7">
    <w:abstractNumId w:val="6"/>
  </w:num>
  <w:num w:numId="8">
    <w:abstractNumId w:val="5"/>
  </w:num>
  <w:num w:numId="9">
    <w:abstractNumId w:val="9"/>
  </w:num>
  <w:num w:numId="10">
    <w:abstractNumId w:val="7"/>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1"/>
  <w:bordersDoNotSurroundFooter w:val="1"/>
  <w:documentProtection w:enforcement="0"/>
  <w:defaultTabStop w:val="420"/>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TE5MGQxNjI2NmE1YmZjMjU5NWUyM2JjNTg5OWZkZDUifQ=="/>
  </w:docVars>
  <w:rsids>
    <w:rsidRoot w:val="00BB256A"/>
    <w:rsid w:val="00007A35"/>
    <w:rsid w:val="00007D37"/>
    <w:rsid w:val="0002647D"/>
    <w:rsid w:val="00042175"/>
    <w:rsid w:val="00046F23"/>
    <w:rsid w:val="00055F1A"/>
    <w:rsid w:val="000561F8"/>
    <w:rsid w:val="00062A2C"/>
    <w:rsid w:val="00070606"/>
    <w:rsid w:val="0008682B"/>
    <w:rsid w:val="000973F1"/>
    <w:rsid w:val="000A7296"/>
    <w:rsid w:val="000B14C6"/>
    <w:rsid w:val="000C1AFF"/>
    <w:rsid w:val="000C6FCF"/>
    <w:rsid w:val="000D6553"/>
    <w:rsid w:val="000E36AB"/>
    <w:rsid w:val="0011086F"/>
    <w:rsid w:val="001123CA"/>
    <w:rsid w:val="00117DB9"/>
    <w:rsid w:val="00134F7C"/>
    <w:rsid w:val="00155341"/>
    <w:rsid w:val="001574C3"/>
    <w:rsid w:val="00157F85"/>
    <w:rsid w:val="00175FBA"/>
    <w:rsid w:val="00176C55"/>
    <w:rsid w:val="00180BD1"/>
    <w:rsid w:val="001A6986"/>
    <w:rsid w:val="001C25BF"/>
    <w:rsid w:val="001C4CCB"/>
    <w:rsid w:val="001C6EDC"/>
    <w:rsid w:val="001E35A6"/>
    <w:rsid w:val="001F268E"/>
    <w:rsid w:val="001F496F"/>
    <w:rsid w:val="00213680"/>
    <w:rsid w:val="002265AF"/>
    <w:rsid w:val="002311A8"/>
    <w:rsid w:val="00253ECA"/>
    <w:rsid w:val="00265765"/>
    <w:rsid w:val="002713AE"/>
    <w:rsid w:val="00274EA9"/>
    <w:rsid w:val="00277BA2"/>
    <w:rsid w:val="0029601A"/>
    <w:rsid w:val="002A2E2B"/>
    <w:rsid w:val="002B0617"/>
    <w:rsid w:val="002B29F1"/>
    <w:rsid w:val="002B4E68"/>
    <w:rsid w:val="002C6C80"/>
    <w:rsid w:val="002C750C"/>
    <w:rsid w:val="002D56CF"/>
    <w:rsid w:val="002E1762"/>
    <w:rsid w:val="002E36AC"/>
    <w:rsid w:val="002F022F"/>
    <w:rsid w:val="002F1462"/>
    <w:rsid w:val="003008BD"/>
    <w:rsid w:val="0030102F"/>
    <w:rsid w:val="003011E6"/>
    <w:rsid w:val="003262FC"/>
    <w:rsid w:val="00341E1D"/>
    <w:rsid w:val="00343707"/>
    <w:rsid w:val="00350B0F"/>
    <w:rsid w:val="003722F7"/>
    <w:rsid w:val="00372711"/>
    <w:rsid w:val="00374D54"/>
    <w:rsid w:val="003972EC"/>
    <w:rsid w:val="003D59CD"/>
    <w:rsid w:val="003E5BD7"/>
    <w:rsid w:val="003F3CD5"/>
    <w:rsid w:val="00404C3B"/>
    <w:rsid w:val="004103E4"/>
    <w:rsid w:val="00413005"/>
    <w:rsid w:val="004134F9"/>
    <w:rsid w:val="0041406F"/>
    <w:rsid w:val="004164C9"/>
    <w:rsid w:val="004178E2"/>
    <w:rsid w:val="00424B6C"/>
    <w:rsid w:val="004268DD"/>
    <w:rsid w:val="00451CAE"/>
    <w:rsid w:val="00452E59"/>
    <w:rsid w:val="004558D7"/>
    <w:rsid w:val="00471801"/>
    <w:rsid w:val="004720DB"/>
    <w:rsid w:val="004738BF"/>
    <w:rsid w:val="0047633B"/>
    <w:rsid w:val="00477242"/>
    <w:rsid w:val="004914C3"/>
    <w:rsid w:val="004A588F"/>
    <w:rsid w:val="004B145C"/>
    <w:rsid w:val="004B211B"/>
    <w:rsid w:val="004B479C"/>
    <w:rsid w:val="004C4882"/>
    <w:rsid w:val="004D05E0"/>
    <w:rsid w:val="004D77BC"/>
    <w:rsid w:val="004D7EE0"/>
    <w:rsid w:val="00510860"/>
    <w:rsid w:val="00510A49"/>
    <w:rsid w:val="00523D22"/>
    <w:rsid w:val="00524437"/>
    <w:rsid w:val="00526986"/>
    <w:rsid w:val="005449C6"/>
    <w:rsid w:val="005508DE"/>
    <w:rsid w:val="005658AF"/>
    <w:rsid w:val="0057094E"/>
    <w:rsid w:val="005768B2"/>
    <w:rsid w:val="00581DDD"/>
    <w:rsid w:val="00582B24"/>
    <w:rsid w:val="005A1F5B"/>
    <w:rsid w:val="005A7790"/>
    <w:rsid w:val="005B0B34"/>
    <w:rsid w:val="005B1DC8"/>
    <w:rsid w:val="005B4455"/>
    <w:rsid w:val="005B5A12"/>
    <w:rsid w:val="005B676F"/>
    <w:rsid w:val="005C6C49"/>
    <w:rsid w:val="005E34AF"/>
    <w:rsid w:val="00601FA3"/>
    <w:rsid w:val="00602FA6"/>
    <w:rsid w:val="006051A2"/>
    <w:rsid w:val="00631076"/>
    <w:rsid w:val="00633934"/>
    <w:rsid w:val="0065412D"/>
    <w:rsid w:val="006560BA"/>
    <w:rsid w:val="00657A6D"/>
    <w:rsid w:val="006622DC"/>
    <w:rsid w:val="00665A05"/>
    <w:rsid w:val="00670F09"/>
    <w:rsid w:val="0068289A"/>
    <w:rsid w:val="0068519E"/>
    <w:rsid w:val="00686AE1"/>
    <w:rsid w:val="006A0D4F"/>
    <w:rsid w:val="006A2FAF"/>
    <w:rsid w:val="006A55E0"/>
    <w:rsid w:val="006A71A6"/>
    <w:rsid w:val="006A7267"/>
    <w:rsid w:val="006B48CA"/>
    <w:rsid w:val="006B5228"/>
    <w:rsid w:val="006C149A"/>
    <w:rsid w:val="006C75F5"/>
    <w:rsid w:val="006C79FF"/>
    <w:rsid w:val="006D17D2"/>
    <w:rsid w:val="006F431B"/>
    <w:rsid w:val="00701560"/>
    <w:rsid w:val="007200EF"/>
    <w:rsid w:val="00727A2C"/>
    <w:rsid w:val="00730398"/>
    <w:rsid w:val="00746B07"/>
    <w:rsid w:val="00753EEC"/>
    <w:rsid w:val="00755F48"/>
    <w:rsid w:val="0076181D"/>
    <w:rsid w:val="0076404F"/>
    <w:rsid w:val="00776AAB"/>
    <w:rsid w:val="00794C81"/>
    <w:rsid w:val="007957EB"/>
    <w:rsid w:val="007B06ED"/>
    <w:rsid w:val="007D419C"/>
    <w:rsid w:val="007E5222"/>
    <w:rsid w:val="007E79C5"/>
    <w:rsid w:val="007F1222"/>
    <w:rsid w:val="0080251D"/>
    <w:rsid w:val="00816F99"/>
    <w:rsid w:val="00825196"/>
    <w:rsid w:val="00850A71"/>
    <w:rsid w:val="008562BC"/>
    <w:rsid w:val="00864359"/>
    <w:rsid w:val="008665BF"/>
    <w:rsid w:val="00872123"/>
    <w:rsid w:val="008848B5"/>
    <w:rsid w:val="00884FBD"/>
    <w:rsid w:val="008951BE"/>
    <w:rsid w:val="008C0957"/>
    <w:rsid w:val="008C1FFC"/>
    <w:rsid w:val="008C28D8"/>
    <w:rsid w:val="008D0832"/>
    <w:rsid w:val="008D085D"/>
    <w:rsid w:val="008D2763"/>
    <w:rsid w:val="008D411B"/>
    <w:rsid w:val="008D422A"/>
    <w:rsid w:val="008D4404"/>
    <w:rsid w:val="008E1A93"/>
    <w:rsid w:val="008E54C9"/>
    <w:rsid w:val="008F0C0D"/>
    <w:rsid w:val="00900732"/>
    <w:rsid w:val="009012CA"/>
    <w:rsid w:val="00904AED"/>
    <w:rsid w:val="00914F31"/>
    <w:rsid w:val="009312D8"/>
    <w:rsid w:val="00990B3D"/>
    <w:rsid w:val="00992BE3"/>
    <w:rsid w:val="0099423C"/>
    <w:rsid w:val="009A622C"/>
    <w:rsid w:val="009B2390"/>
    <w:rsid w:val="009D6669"/>
    <w:rsid w:val="009E2D38"/>
    <w:rsid w:val="009F2C4E"/>
    <w:rsid w:val="009F7842"/>
    <w:rsid w:val="00A0625F"/>
    <w:rsid w:val="00A0754F"/>
    <w:rsid w:val="00A1255F"/>
    <w:rsid w:val="00A14EC3"/>
    <w:rsid w:val="00A15A36"/>
    <w:rsid w:val="00A32431"/>
    <w:rsid w:val="00A4242D"/>
    <w:rsid w:val="00A43CD1"/>
    <w:rsid w:val="00A441B9"/>
    <w:rsid w:val="00A60860"/>
    <w:rsid w:val="00A731A7"/>
    <w:rsid w:val="00A852A3"/>
    <w:rsid w:val="00A863ED"/>
    <w:rsid w:val="00A86D2C"/>
    <w:rsid w:val="00A87B59"/>
    <w:rsid w:val="00A96226"/>
    <w:rsid w:val="00AA1641"/>
    <w:rsid w:val="00AA461D"/>
    <w:rsid w:val="00AB22F6"/>
    <w:rsid w:val="00AB3817"/>
    <w:rsid w:val="00AC0B3A"/>
    <w:rsid w:val="00AC2B52"/>
    <w:rsid w:val="00AD39E9"/>
    <w:rsid w:val="00AE1ED1"/>
    <w:rsid w:val="00AE3762"/>
    <w:rsid w:val="00AF37CA"/>
    <w:rsid w:val="00AF6948"/>
    <w:rsid w:val="00B049FF"/>
    <w:rsid w:val="00B06D31"/>
    <w:rsid w:val="00B1234E"/>
    <w:rsid w:val="00B17FE1"/>
    <w:rsid w:val="00B35C7B"/>
    <w:rsid w:val="00B42DB2"/>
    <w:rsid w:val="00B47734"/>
    <w:rsid w:val="00B647B0"/>
    <w:rsid w:val="00B751C9"/>
    <w:rsid w:val="00B767CD"/>
    <w:rsid w:val="00B86E13"/>
    <w:rsid w:val="00B92904"/>
    <w:rsid w:val="00B93C61"/>
    <w:rsid w:val="00BB256A"/>
    <w:rsid w:val="00BB353D"/>
    <w:rsid w:val="00BC0C81"/>
    <w:rsid w:val="00BC3049"/>
    <w:rsid w:val="00BC427E"/>
    <w:rsid w:val="00BD4CFB"/>
    <w:rsid w:val="00BD5076"/>
    <w:rsid w:val="00BE0AF1"/>
    <w:rsid w:val="00BE1C6B"/>
    <w:rsid w:val="00BF6D5F"/>
    <w:rsid w:val="00BF7332"/>
    <w:rsid w:val="00C04849"/>
    <w:rsid w:val="00C11FE9"/>
    <w:rsid w:val="00C1417B"/>
    <w:rsid w:val="00C15A23"/>
    <w:rsid w:val="00C4184D"/>
    <w:rsid w:val="00C61018"/>
    <w:rsid w:val="00C656B1"/>
    <w:rsid w:val="00C718E3"/>
    <w:rsid w:val="00C77067"/>
    <w:rsid w:val="00C93FD9"/>
    <w:rsid w:val="00CA09FB"/>
    <w:rsid w:val="00CA3DBA"/>
    <w:rsid w:val="00CB0B0A"/>
    <w:rsid w:val="00CB3FB1"/>
    <w:rsid w:val="00CC2750"/>
    <w:rsid w:val="00CC2C8F"/>
    <w:rsid w:val="00CD0C93"/>
    <w:rsid w:val="00CD798B"/>
    <w:rsid w:val="00CE747C"/>
    <w:rsid w:val="00CF2311"/>
    <w:rsid w:val="00CF3EE1"/>
    <w:rsid w:val="00D1448E"/>
    <w:rsid w:val="00D14A00"/>
    <w:rsid w:val="00D1583D"/>
    <w:rsid w:val="00D24F19"/>
    <w:rsid w:val="00D2635E"/>
    <w:rsid w:val="00D30B1C"/>
    <w:rsid w:val="00D353A4"/>
    <w:rsid w:val="00D416A4"/>
    <w:rsid w:val="00D46F2F"/>
    <w:rsid w:val="00D47789"/>
    <w:rsid w:val="00D5271D"/>
    <w:rsid w:val="00D60875"/>
    <w:rsid w:val="00D64686"/>
    <w:rsid w:val="00D73327"/>
    <w:rsid w:val="00D745D0"/>
    <w:rsid w:val="00D824EC"/>
    <w:rsid w:val="00D829BD"/>
    <w:rsid w:val="00D8429D"/>
    <w:rsid w:val="00D86CE2"/>
    <w:rsid w:val="00D91F6B"/>
    <w:rsid w:val="00DA6986"/>
    <w:rsid w:val="00DB027F"/>
    <w:rsid w:val="00DC5689"/>
    <w:rsid w:val="00DD3DD3"/>
    <w:rsid w:val="00DE5BF9"/>
    <w:rsid w:val="00DF7333"/>
    <w:rsid w:val="00E136DC"/>
    <w:rsid w:val="00E410C9"/>
    <w:rsid w:val="00E50E4C"/>
    <w:rsid w:val="00E61DC1"/>
    <w:rsid w:val="00E76F33"/>
    <w:rsid w:val="00E91741"/>
    <w:rsid w:val="00E929AF"/>
    <w:rsid w:val="00E95A6C"/>
    <w:rsid w:val="00E97AFD"/>
    <w:rsid w:val="00EA6748"/>
    <w:rsid w:val="00ED0948"/>
    <w:rsid w:val="00ED1DF9"/>
    <w:rsid w:val="00ED74A5"/>
    <w:rsid w:val="00EE4583"/>
    <w:rsid w:val="00EE74AB"/>
    <w:rsid w:val="00F10EC9"/>
    <w:rsid w:val="00F147FF"/>
    <w:rsid w:val="00F2022D"/>
    <w:rsid w:val="00F339DF"/>
    <w:rsid w:val="00F437F5"/>
    <w:rsid w:val="00F466CE"/>
    <w:rsid w:val="00F57450"/>
    <w:rsid w:val="00F62FBF"/>
    <w:rsid w:val="00F72CFD"/>
    <w:rsid w:val="00F8089E"/>
    <w:rsid w:val="00F81DBA"/>
    <w:rsid w:val="00F84A26"/>
    <w:rsid w:val="00F86A52"/>
    <w:rsid w:val="00F9534F"/>
    <w:rsid w:val="00FA0426"/>
    <w:rsid w:val="00FA35CD"/>
    <w:rsid w:val="00FB03C5"/>
    <w:rsid w:val="00FB395E"/>
    <w:rsid w:val="00FB5D05"/>
    <w:rsid w:val="00FC1E7A"/>
    <w:rsid w:val="00FC29A5"/>
    <w:rsid w:val="00FC3081"/>
    <w:rsid w:val="00FC4CC8"/>
    <w:rsid w:val="084418B6"/>
    <w:rsid w:val="0B8909F1"/>
    <w:rsid w:val="0CEC339A"/>
    <w:rsid w:val="0FBB5569"/>
    <w:rsid w:val="10C424EF"/>
    <w:rsid w:val="133C553E"/>
    <w:rsid w:val="13A03DE2"/>
    <w:rsid w:val="152234F7"/>
    <w:rsid w:val="1B0D3ED4"/>
    <w:rsid w:val="1DC77F6F"/>
    <w:rsid w:val="1FB73E8D"/>
    <w:rsid w:val="26B1239B"/>
    <w:rsid w:val="278C11BA"/>
    <w:rsid w:val="3670710D"/>
    <w:rsid w:val="3B316244"/>
    <w:rsid w:val="3B982178"/>
    <w:rsid w:val="3D243590"/>
    <w:rsid w:val="41391163"/>
    <w:rsid w:val="48AC2FFE"/>
    <w:rsid w:val="4C947091"/>
    <w:rsid w:val="4D2C4E46"/>
    <w:rsid w:val="51A946BD"/>
    <w:rsid w:val="53104E9A"/>
    <w:rsid w:val="55D63DB0"/>
    <w:rsid w:val="566B3A0C"/>
    <w:rsid w:val="60440EF5"/>
    <w:rsid w:val="688E1092"/>
    <w:rsid w:val="696B6DD4"/>
    <w:rsid w:val="69AD578E"/>
    <w:rsid w:val="7B9F47D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99" w:semiHidden="0" w:name="Normal Indent"/>
    <w:lsdException w:qFormat="1" w:uiPriority="99" w:semiHidden="0" w:name="footnote text"/>
    <w:lsdException w:qFormat="1" w:uiPriority="99"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qFormat="1" w:uiPriority="99" w:semiHidden="0" w:name="footnote reference"/>
    <w:lsdException w:qFormat="1" w:uiPriority="99" w:name="annotation reference"/>
    <w:lsdException w:uiPriority="99" w:name="line number"/>
    <w:lsdException w:qFormat="1"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adjustRightInd w:val="0"/>
      <w:snapToGrid w:val="0"/>
      <w:spacing w:line="576" w:lineRule="exact"/>
      <w:jc w:val="both"/>
    </w:pPr>
    <w:rPr>
      <w:rFonts w:ascii="TimesNewRoman" w:hAnsi="TimesNewRoman" w:eastAsia="仿宋" w:cs="Times New Roman"/>
      <w:kern w:val="2"/>
      <w:sz w:val="28"/>
      <w:lang w:val="en-US" w:eastAsia="zh-CN" w:bidi="ar-SA"/>
    </w:rPr>
  </w:style>
  <w:style w:type="paragraph" w:styleId="2">
    <w:name w:val="heading 1"/>
    <w:basedOn w:val="1"/>
    <w:next w:val="1"/>
    <w:link w:val="38"/>
    <w:autoRedefine/>
    <w:qFormat/>
    <w:uiPriority w:val="0"/>
    <w:pPr>
      <w:keepNext/>
      <w:keepLines/>
      <w:pageBreakBefore/>
      <w:numPr>
        <w:ilvl w:val="0"/>
        <w:numId w:val="1"/>
      </w:numPr>
      <w:spacing w:after="240"/>
      <w:jc w:val="center"/>
      <w:outlineLvl w:val="0"/>
    </w:pPr>
    <w:rPr>
      <w:rFonts w:ascii="黑体" w:hAnsi="黑体" w:eastAsia="黑体"/>
      <w:b/>
      <w:sz w:val="44"/>
    </w:rPr>
  </w:style>
  <w:style w:type="paragraph" w:styleId="3">
    <w:name w:val="heading 2"/>
    <w:basedOn w:val="1"/>
    <w:next w:val="1"/>
    <w:link w:val="43"/>
    <w:autoRedefine/>
    <w:qFormat/>
    <w:uiPriority w:val="0"/>
    <w:pPr>
      <w:keepNext/>
      <w:keepLines/>
      <w:numPr>
        <w:ilvl w:val="1"/>
        <w:numId w:val="1"/>
      </w:numPr>
      <w:jc w:val="left"/>
      <w:outlineLvl w:val="1"/>
    </w:pPr>
    <w:rPr>
      <w:rFonts w:ascii="黑体" w:hAnsi="黑体" w:eastAsia="黑体"/>
      <w:b/>
      <w:sz w:val="32"/>
    </w:rPr>
  </w:style>
  <w:style w:type="paragraph" w:styleId="4">
    <w:name w:val="heading 3"/>
    <w:basedOn w:val="1"/>
    <w:next w:val="1"/>
    <w:link w:val="40"/>
    <w:autoRedefine/>
    <w:qFormat/>
    <w:uiPriority w:val="9"/>
    <w:pPr>
      <w:keepNext/>
      <w:keepLines/>
      <w:numPr>
        <w:ilvl w:val="2"/>
        <w:numId w:val="1"/>
      </w:numPr>
      <w:jc w:val="left"/>
      <w:outlineLvl w:val="2"/>
    </w:pPr>
    <w:rPr>
      <w:rFonts w:ascii="黑体" w:hAnsi="黑体" w:eastAsia="黑体"/>
      <w:b/>
    </w:rPr>
  </w:style>
  <w:style w:type="paragraph" w:styleId="5">
    <w:name w:val="heading 4"/>
    <w:basedOn w:val="1"/>
    <w:next w:val="1"/>
    <w:link w:val="48"/>
    <w:autoRedefine/>
    <w:qFormat/>
    <w:uiPriority w:val="0"/>
    <w:pPr>
      <w:keepNext/>
      <w:keepLines/>
      <w:numPr>
        <w:ilvl w:val="3"/>
        <w:numId w:val="1"/>
      </w:numPr>
      <w:jc w:val="left"/>
      <w:outlineLvl w:val="3"/>
    </w:pPr>
    <w:rPr>
      <w:rFonts w:ascii="黑体" w:hAnsi="黑体" w:eastAsia="黑体"/>
      <w:b/>
    </w:rPr>
  </w:style>
  <w:style w:type="paragraph" w:styleId="6">
    <w:name w:val="heading 5"/>
    <w:basedOn w:val="1"/>
    <w:next w:val="1"/>
    <w:link w:val="49"/>
    <w:autoRedefine/>
    <w:qFormat/>
    <w:uiPriority w:val="0"/>
    <w:pPr>
      <w:numPr>
        <w:ilvl w:val="4"/>
        <w:numId w:val="1"/>
      </w:numPr>
      <w:outlineLvl w:val="4"/>
    </w:pPr>
  </w:style>
  <w:style w:type="paragraph" w:styleId="7">
    <w:name w:val="heading 6"/>
    <w:basedOn w:val="1"/>
    <w:next w:val="1"/>
    <w:link w:val="50"/>
    <w:autoRedefine/>
    <w:qFormat/>
    <w:uiPriority w:val="0"/>
    <w:pPr>
      <w:keepNext/>
      <w:keepLines/>
      <w:numPr>
        <w:ilvl w:val="5"/>
        <w:numId w:val="1"/>
      </w:numPr>
      <w:spacing w:line="319" w:lineRule="auto"/>
      <w:jc w:val="center"/>
      <w:outlineLvl w:val="5"/>
    </w:pPr>
    <w:rPr>
      <w:rFonts w:ascii="黑体" w:hAnsi="黑体" w:eastAsia="黑体"/>
      <w:b/>
      <w:sz w:val="20"/>
    </w:rPr>
  </w:style>
  <w:style w:type="paragraph" w:styleId="8">
    <w:name w:val="heading 7"/>
    <w:basedOn w:val="1"/>
    <w:next w:val="1"/>
    <w:link w:val="51"/>
    <w:autoRedefine/>
    <w:qFormat/>
    <w:uiPriority w:val="0"/>
    <w:pPr>
      <w:keepLines/>
      <w:numPr>
        <w:ilvl w:val="6"/>
        <w:numId w:val="1"/>
      </w:numPr>
      <w:spacing w:line="319" w:lineRule="auto"/>
      <w:jc w:val="center"/>
      <w:outlineLvl w:val="6"/>
    </w:pPr>
    <w:rPr>
      <w:rFonts w:ascii="黑体" w:hAnsi="黑体" w:eastAsia="黑体"/>
      <w:b/>
      <w:sz w:val="20"/>
    </w:rPr>
  </w:style>
  <w:style w:type="paragraph" w:styleId="9">
    <w:name w:val="heading 8"/>
    <w:basedOn w:val="1"/>
    <w:next w:val="1"/>
    <w:link w:val="52"/>
    <w:autoRedefine/>
    <w:qFormat/>
    <w:uiPriority w:val="0"/>
    <w:pPr>
      <w:keepNext/>
      <w:keepLines/>
      <w:spacing w:before="240" w:after="64" w:line="319" w:lineRule="auto"/>
      <w:outlineLvl w:val="7"/>
    </w:pPr>
    <w:rPr>
      <w:rFonts w:ascii="Arial" w:hAnsi="Arial" w:eastAsia="黑体"/>
      <w:sz w:val="24"/>
    </w:rPr>
  </w:style>
  <w:style w:type="paragraph" w:styleId="10">
    <w:name w:val="heading 9"/>
    <w:basedOn w:val="1"/>
    <w:next w:val="1"/>
    <w:link w:val="53"/>
    <w:autoRedefine/>
    <w:qFormat/>
    <w:uiPriority w:val="0"/>
    <w:pPr>
      <w:keepNext/>
      <w:keepLines/>
      <w:spacing w:before="240" w:after="64" w:line="319" w:lineRule="auto"/>
      <w:outlineLvl w:val="8"/>
    </w:pPr>
    <w:rPr>
      <w:rFonts w:ascii="Arial" w:hAnsi="Arial" w:eastAsia="黑体"/>
    </w:rPr>
  </w:style>
  <w:style w:type="character" w:default="1" w:styleId="32">
    <w:name w:val="Default Paragraph Font"/>
    <w:semiHidden/>
    <w:unhideWhenUsed/>
    <w:uiPriority w:val="1"/>
  </w:style>
  <w:style w:type="table" w:default="1" w:styleId="30">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autoRedefine/>
    <w:qFormat/>
    <w:uiPriority w:val="39"/>
    <w:pPr>
      <w:ind w:left="1260"/>
      <w:jc w:val="left"/>
    </w:pPr>
    <w:rPr>
      <w:sz w:val="18"/>
    </w:rPr>
  </w:style>
  <w:style w:type="paragraph" w:styleId="12">
    <w:name w:val="Normal Indent"/>
    <w:basedOn w:val="1"/>
    <w:autoRedefine/>
    <w:qFormat/>
    <w:uiPriority w:val="99"/>
    <w:pPr>
      <w:ind w:firstLine="200" w:firstLineChars="200"/>
    </w:pPr>
  </w:style>
  <w:style w:type="paragraph" w:styleId="13">
    <w:name w:val="caption"/>
    <w:basedOn w:val="1"/>
    <w:next w:val="1"/>
    <w:link w:val="41"/>
    <w:autoRedefine/>
    <w:qFormat/>
    <w:uiPriority w:val="0"/>
    <w:rPr>
      <w:rFonts w:ascii="Cambria" w:hAnsi="Cambria" w:eastAsia="黑体"/>
      <w:kern w:val="0"/>
      <w:sz w:val="20"/>
    </w:rPr>
  </w:style>
  <w:style w:type="paragraph" w:styleId="14">
    <w:name w:val="Document Map"/>
    <w:basedOn w:val="1"/>
    <w:link w:val="54"/>
    <w:autoRedefine/>
    <w:semiHidden/>
    <w:unhideWhenUsed/>
    <w:qFormat/>
    <w:uiPriority w:val="99"/>
    <w:rPr>
      <w:rFonts w:ascii="宋体"/>
      <w:sz w:val="18"/>
      <w:szCs w:val="18"/>
    </w:rPr>
  </w:style>
  <w:style w:type="paragraph" w:styleId="15">
    <w:name w:val="annotation text"/>
    <w:basedOn w:val="1"/>
    <w:link w:val="55"/>
    <w:autoRedefine/>
    <w:semiHidden/>
    <w:unhideWhenUsed/>
    <w:qFormat/>
    <w:uiPriority w:val="99"/>
    <w:pPr>
      <w:jc w:val="left"/>
    </w:pPr>
  </w:style>
  <w:style w:type="paragraph" w:styleId="16">
    <w:name w:val="toc 5"/>
    <w:basedOn w:val="1"/>
    <w:next w:val="1"/>
    <w:autoRedefine/>
    <w:qFormat/>
    <w:uiPriority w:val="39"/>
    <w:pPr>
      <w:ind w:left="840"/>
      <w:jc w:val="left"/>
    </w:pPr>
    <w:rPr>
      <w:sz w:val="18"/>
    </w:rPr>
  </w:style>
  <w:style w:type="paragraph" w:styleId="17">
    <w:name w:val="toc 3"/>
    <w:basedOn w:val="1"/>
    <w:next w:val="1"/>
    <w:autoRedefine/>
    <w:qFormat/>
    <w:uiPriority w:val="39"/>
    <w:pPr>
      <w:ind w:left="420"/>
      <w:jc w:val="left"/>
    </w:pPr>
    <w:rPr>
      <w:sz w:val="24"/>
    </w:rPr>
  </w:style>
  <w:style w:type="paragraph" w:styleId="18">
    <w:name w:val="toc 8"/>
    <w:basedOn w:val="1"/>
    <w:next w:val="1"/>
    <w:autoRedefine/>
    <w:qFormat/>
    <w:uiPriority w:val="39"/>
    <w:pPr>
      <w:ind w:left="1470"/>
      <w:jc w:val="left"/>
    </w:pPr>
    <w:rPr>
      <w:sz w:val="18"/>
    </w:rPr>
  </w:style>
  <w:style w:type="paragraph" w:styleId="19">
    <w:name w:val="Balloon Text"/>
    <w:basedOn w:val="1"/>
    <w:link w:val="56"/>
    <w:autoRedefine/>
    <w:semiHidden/>
    <w:unhideWhenUsed/>
    <w:qFormat/>
    <w:uiPriority w:val="99"/>
    <w:rPr>
      <w:sz w:val="18"/>
      <w:szCs w:val="18"/>
    </w:rPr>
  </w:style>
  <w:style w:type="paragraph" w:styleId="20">
    <w:name w:val="footer"/>
    <w:basedOn w:val="1"/>
    <w:link w:val="46"/>
    <w:autoRedefine/>
    <w:unhideWhenUsed/>
    <w:qFormat/>
    <w:uiPriority w:val="99"/>
    <w:pPr>
      <w:tabs>
        <w:tab w:val="center" w:pos="4153"/>
        <w:tab w:val="right" w:pos="8306"/>
      </w:tabs>
      <w:jc w:val="left"/>
    </w:pPr>
    <w:rPr>
      <w:sz w:val="18"/>
      <w:szCs w:val="18"/>
    </w:rPr>
  </w:style>
  <w:style w:type="paragraph" w:styleId="21">
    <w:name w:val="header"/>
    <w:basedOn w:val="1"/>
    <w:link w:val="45"/>
    <w:autoRedefine/>
    <w:unhideWhenUsed/>
    <w:qFormat/>
    <w:uiPriority w:val="99"/>
    <w:pPr>
      <w:tabs>
        <w:tab w:val="center" w:pos="4153"/>
        <w:tab w:val="right" w:pos="8306"/>
      </w:tabs>
      <w:jc w:val="center"/>
    </w:pPr>
    <w:rPr>
      <w:sz w:val="18"/>
      <w:szCs w:val="18"/>
    </w:rPr>
  </w:style>
  <w:style w:type="paragraph" w:styleId="22">
    <w:name w:val="toc 1"/>
    <w:basedOn w:val="1"/>
    <w:next w:val="1"/>
    <w:autoRedefine/>
    <w:qFormat/>
    <w:uiPriority w:val="39"/>
    <w:pPr>
      <w:spacing w:before="120" w:after="120"/>
      <w:jc w:val="left"/>
    </w:pPr>
    <w:rPr>
      <w:b/>
      <w:caps/>
      <w:sz w:val="24"/>
    </w:rPr>
  </w:style>
  <w:style w:type="paragraph" w:styleId="23">
    <w:name w:val="toc 4"/>
    <w:basedOn w:val="1"/>
    <w:next w:val="1"/>
    <w:autoRedefine/>
    <w:qFormat/>
    <w:uiPriority w:val="39"/>
    <w:pPr>
      <w:ind w:left="630"/>
      <w:jc w:val="left"/>
    </w:pPr>
    <w:rPr>
      <w:sz w:val="18"/>
    </w:rPr>
  </w:style>
  <w:style w:type="paragraph" w:styleId="24">
    <w:name w:val="footnote text"/>
    <w:basedOn w:val="1"/>
    <w:link w:val="57"/>
    <w:autoRedefine/>
    <w:unhideWhenUsed/>
    <w:qFormat/>
    <w:uiPriority w:val="99"/>
    <w:pPr>
      <w:jc w:val="left"/>
    </w:pPr>
    <w:rPr>
      <w:sz w:val="18"/>
      <w:szCs w:val="18"/>
    </w:rPr>
  </w:style>
  <w:style w:type="paragraph" w:styleId="25">
    <w:name w:val="toc 6"/>
    <w:basedOn w:val="1"/>
    <w:next w:val="1"/>
    <w:autoRedefine/>
    <w:qFormat/>
    <w:uiPriority w:val="39"/>
    <w:pPr>
      <w:ind w:left="1050"/>
      <w:jc w:val="left"/>
    </w:pPr>
    <w:rPr>
      <w:sz w:val="18"/>
    </w:rPr>
  </w:style>
  <w:style w:type="paragraph" w:styleId="26">
    <w:name w:val="toc 2"/>
    <w:basedOn w:val="1"/>
    <w:next w:val="1"/>
    <w:autoRedefine/>
    <w:qFormat/>
    <w:uiPriority w:val="39"/>
    <w:pPr>
      <w:spacing w:beforeLines="50"/>
      <w:ind w:left="210"/>
      <w:jc w:val="left"/>
    </w:pPr>
    <w:rPr>
      <w:sz w:val="24"/>
    </w:rPr>
  </w:style>
  <w:style w:type="paragraph" w:styleId="27">
    <w:name w:val="toc 9"/>
    <w:basedOn w:val="1"/>
    <w:next w:val="1"/>
    <w:autoRedefine/>
    <w:qFormat/>
    <w:uiPriority w:val="39"/>
    <w:pPr>
      <w:ind w:left="1680"/>
      <w:jc w:val="left"/>
    </w:pPr>
    <w:rPr>
      <w:sz w:val="18"/>
    </w:rPr>
  </w:style>
  <w:style w:type="paragraph" w:styleId="28">
    <w:name w:val="Normal (Web)"/>
    <w:basedOn w:val="1"/>
    <w:autoRedefine/>
    <w:unhideWhenUsed/>
    <w:qFormat/>
    <w:uiPriority w:val="99"/>
    <w:pPr>
      <w:widowControl/>
      <w:spacing w:before="100" w:beforeAutospacing="1" w:after="100" w:afterAutospacing="1"/>
      <w:jc w:val="left"/>
    </w:pPr>
    <w:rPr>
      <w:rFonts w:ascii="宋体" w:hAnsi="宋体" w:cs="宋体"/>
      <w:kern w:val="0"/>
      <w:sz w:val="24"/>
    </w:rPr>
  </w:style>
  <w:style w:type="paragraph" w:styleId="29">
    <w:name w:val="annotation subject"/>
    <w:basedOn w:val="15"/>
    <w:next w:val="15"/>
    <w:link w:val="58"/>
    <w:autoRedefine/>
    <w:semiHidden/>
    <w:unhideWhenUsed/>
    <w:qFormat/>
    <w:uiPriority w:val="99"/>
    <w:rPr>
      <w:b/>
      <w:bCs/>
    </w:rPr>
  </w:style>
  <w:style w:type="table" w:styleId="31">
    <w:name w:val="Table Grid"/>
    <w:basedOn w:val="30"/>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3">
    <w:name w:val="Strong"/>
    <w:basedOn w:val="32"/>
    <w:autoRedefine/>
    <w:qFormat/>
    <w:uiPriority w:val="22"/>
    <w:rPr>
      <w:b/>
      <w:bCs/>
    </w:rPr>
  </w:style>
  <w:style w:type="character" w:styleId="34">
    <w:name w:val="page number"/>
    <w:basedOn w:val="32"/>
    <w:autoRedefine/>
    <w:semiHidden/>
    <w:unhideWhenUsed/>
    <w:qFormat/>
    <w:uiPriority w:val="99"/>
  </w:style>
  <w:style w:type="character" w:styleId="35">
    <w:name w:val="Hyperlink"/>
    <w:autoRedefine/>
    <w:qFormat/>
    <w:uiPriority w:val="99"/>
    <w:rPr>
      <w:color w:val="0000FF"/>
      <w:u w:val="single"/>
    </w:rPr>
  </w:style>
  <w:style w:type="character" w:styleId="36">
    <w:name w:val="annotation reference"/>
    <w:autoRedefine/>
    <w:semiHidden/>
    <w:unhideWhenUsed/>
    <w:qFormat/>
    <w:uiPriority w:val="99"/>
    <w:rPr>
      <w:sz w:val="21"/>
      <w:szCs w:val="21"/>
    </w:rPr>
  </w:style>
  <w:style w:type="character" w:styleId="37">
    <w:name w:val="footnote reference"/>
    <w:autoRedefine/>
    <w:unhideWhenUsed/>
    <w:qFormat/>
    <w:uiPriority w:val="99"/>
    <w:rPr>
      <w:vertAlign w:val="superscript"/>
    </w:rPr>
  </w:style>
  <w:style w:type="character" w:customStyle="1" w:styleId="38">
    <w:name w:val="标题 1 字符"/>
    <w:basedOn w:val="32"/>
    <w:link w:val="2"/>
    <w:autoRedefine/>
    <w:qFormat/>
    <w:uiPriority w:val="0"/>
    <w:rPr>
      <w:rFonts w:ascii="黑体" w:hAnsi="黑体" w:eastAsia="黑体" w:cs="Times New Roman"/>
      <w:b/>
      <w:sz w:val="44"/>
      <w:szCs w:val="20"/>
    </w:rPr>
  </w:style>
  <w:style w:type="character" w:customStyle="1" w:styleId="39">
    <w:name w:val="标题 2 字符"/>
    <w:basedOn w:val="32"/>
    <w:autoRedefine/>
    <w:qFormat/>
    <w:uiPriority w:val="0"/>
    <w:rPr>
      <w:rFonts w:asciiTheme="majorHAnsi" w:hAnsiTheme="majorHAnsi" w:eastAsiaTheme="majorEastAsia" w:cstheme="majorBidi"/>
      <w:b/>
      <w:bCs/>
      <w:sz w:val="32"/>
      <w:szCs w:val="32"/>
    </w:rPr>
  </w:style>
  <w:style w:type="character" w:customStyle="1" w:styleId="40">
    <w:name w:val="标题 3 字符"/>
    <w:basedOn w:val="32"/>
    <w:link w:val="4"/>
    <w:autoRedefine/>
    <w:qFormat/>
    <w:uiPriority w:val="9"/>
    <w:rPr>
      <w:rFonts w:ascii="黑体" w:hAnsi="黑体" w:eastAsia="黑体" w:cs="Times New Roman"/>
      <w:b/>
      <w:sz w:val="28"/>
      <w:szCs w:val="20"/>
    </w:rPr>
  </w:style>
  <w:style w:type="character" w:customStyle="1" w:styleId="41">
    <w:name w:val="题注 字符"/>
    <w:link w:val="13"/>
    <w:autoRedefine/>
    <w:qFormat/>
    <w:uiPriority w:val="0"/>
    <w:rPr>
      <w:rFonts w:ascii="Cambria" w:hAnsi="Cambria" w:eastAsia="黑体" w:cs="Times New Roman"/>
      <w:kern w:val="0"/>
      <w:sz w:val="20"/>
      <w:szCs w:val="20"/>
    </w:rPr>
  </w:style>
  <w:style w:type="character" w:customStyle="1" w:styleId="42">
    <w:name w:val="fontstyle01"/>
    <w:basedOn w:val="32"/>
    <w:autoRedefine/>
    <w:qFormat/>
    <w:uiPriority w:val="0"/>
    <w:rPr>
      <w:rFonts w:hint="eastAsia" w:ascii="仿宋_GB2312" w:eastAsia="仿宋_GB2312"/>
      <w:color w:val="000000"/>
      <w:sz w:val="32"/>
      <w:szCs w:val="32"/>
    </w:rPr>
  </w:style>
  <w:style w:type="character" w:customStyle="1" w:styleId="43">
    <w:name w:val="标题 2 字符1"/>
    <w:basedOn w:val="32"/>
    <w:link w:val="3"/>
    <w:autoRedefine/>
    <w:qFormat/>
    <w:uiPriority w:val="0"/>
    <w:rPr>
      <w:rFonts w:ascii="黑体" w:hAnsi="黑体" w:eastAsia="黑体" w:cs="Times New Roman"/>
      <w:b/>
      <w:sz w:val="32"/>
      <w:szCs w:val="20"/>
    </w:rPr>
  </w:style>
  <w:style w:type="character" w:customStyle="1" w:styleId="44">
    <w:name w:val="text_vtes5"/>
    <w:basedOn w:val="32"/>
    <w:autoRedefine/>
    <w:qFormat/>
    <w:uiPriority w:val="0"/>
  </w:style>
  <w:style w:type="character" w:customStyle="1" w:styleId="45">
    <w:name w:val="页眉 字符"/>
    <w:basedOn w:val="32"/>
    <w:link w:val="21"/>
    <w:autoRedefine/>
    <w:qFormat/>
    <w:uiPriority w:val="99"/>
    <w:rPr>
      <w:rFonts w:ascii="Times New Roman" w:hAnsi="Times New Roman" w:eastAsia="仿宋_GB2312" w:cs="Times New Roman"/>
      <w:sz w:val="18"/>
      <w:szCs w:val="18"/>
    </w:rPr>
  </w:style>
  <w:style w:type="character" w:customStyle="1" w:styleId="46">
    <w:name w:val="页脚 字符"/>
    <w:basedOn w:val="32"/>
    <w:link w:val="20"/>
    <w:autoRedefine/>
    <w:qFormat/>
    <w:uiPriority w:val="99"/>
    <w:rPr>
      <w:rFonts w:ascii="Times New Roman" w:hAnsi="Times New Roman" w:eastAsia="仿宋_GB2312" w:cs="Times New Roman"/>
      <w:sz w:val="18"/>
      <w:szCs w:val="18"/>
    </w:rPr>
  </w:style>
  <w:style w:type="paragraph" w:styleId="47">
    <w:name w:val="List Paragraph"/>
    <w:basedOn w:val="1"/>
    <w:autoRedefine/>
    <w:qFormat/>
    <w:uiPriority w:val="1"/>
    <w:pPr>
      <w:ind w:firstLine="420" w:firstLineChars="200"/>
    </w:pPr>
  </w:style>
  <w:style w:type="character" w:customStyle="1" w:styleId="48">
    <w:name w:val="标题 4 字符"/>
    <w:basedOn w:val="32"/>
    <w:link w:val="5"/>
    <w:autoRedefine/>
    <w:qFormat/>
    <w:uiPriority w:val="0"/>
    <w:rPr>
      <w:rFonts w:ascii="黑体" w:hAnsi="黑体" w:eastAsia="黑体" w:cs="Times New Roman"/>
      <w:b/>
      <w:sz w:val="28"/>
      <w:szCs w:val="20"/>
    </w:rPr>
  </w:style>
  <w:style w:type="character" w:customStyle="1" w:styleId="49">
    <w:name w:val="标题 5 字符"/>
    <w:basedOn w:val="32"/>
    <w:link w:val="6"/>
    <w:autoRedefine/>
    <w:qFormat/>
    <w:uiPriority w:val="0"/>
    <w:rPr>
      <w:rFonts w:ascii="TimesNewRoman" w:hAnsi="TimesNewRoman" w:eastAsia="仿宋" w:cs="Times New Roman"/>
      <w:sz w:val="28"/>
      <w:szCs w:val="20"/>
    </w:rPr>
  </w:style>
  <w:style w:type="character" w:customStyle="1" w:styleId="50">
    <w:name w:val="标题 6 字符"/>
    <w:basedOn w:val="32"/>
    <w:link w:val="7"/>
    <w:autoRedefine/>
    <w:qFormat/>
    <w:uiPriority w:val="0"/>
    <w:rPr>
      <w:rFonts w:ascii="黑体" w:hAnsi="黑体" w:eastAsia="黑体" w:cs="Times New Roman"/>
      <w:b/>
      <w:sz w:val="20"/>
      <w:szCs w:val="20"/>
    </w:rPr>
  </w:style>
  <w:style w:type="character" w:customStyle="1" w:styleId="51">
    <w:name w:val="标题 7 字符"/>
    <w:basedOn w:val="32"/>
    <w:link w:val="8"/>
    <w:autoRedefine/>
    <w:qFormat/>
    <w:uiPriority w:val="0"/>
    <w:rPr>
      <w:rFonts w:ascii="黑体" w:hAnsi="黑体" w:eastAsia="黑体" w:cs="Times New Roman"/>
      <w:b/>
      <w:sz w:val="20"/>
      <w:szCs w:val="20"/>
    </w:rPr>
  </w:style>
  <w:style w:type="character" w:customStyle="1" w:styleId="52">
    <w:name w:val="标题 8 字符"/>
    <w:basedOn w:val="32"/>
    <w:link w:val="9"/>
    <w:autoRedefine/>
    <w:qFormat/>
    <w:uiPriority w:val="0"/>
    <w:rPr>
      <w:rFonts w:ascii="Arial" w:hAnsi="Arial" w:eastAsia="黑体" w:cs="Times New Roman"/>
      <w:sz w:val="24"/>
      <w:szCs w:val="20"/>
    </w:rPr>
  </w:style>
  <w:style w:type="character" w:customStyle="1" w:styleId="53">
    <w:name w:val="标题 9 字符"/>
    <w:basedOn w:val="32"/>
    <w:link w:val="10"/>
    <w:autoRedefine/>
    <w:qFormat/>
    <w:uiPriority w:val="0"/>
    <w:rPr>
      <w:rFonts w:ascii="Arial" w:hAnsi="Arial" w:eastAsia="黑体" w:cs="Times New Roman"/>
      <w:szCs w:val="20"/>
    </w:rPr>
  </w:style>
  <w:style w:type="character" w:customStyle="1" w:styleId="54">
    <w:name w:val="文档结构图 字符"/>
    <w:basedOn w:val="32"/>
    <w:link w:val="14"/>
    <w:autoRedefine/>
    <w:semiHidden/>
    <w:qFormat/>
    <w:uiPriority w:val="99"/>
    <w:rPr>
      <w:rFonts w:ascii="宋体" w:hAnsi="Times New Roman" w:eastAsia="仿宋_GB2312" w:cs="Times New Roman"/>
      <w:sz w:val="18"/>
      <w:szCs w:val="18"/>
    </w:rPr>
  </w:style>
  <w:style w:type="character" w:customStyle="1" w:styleId="55">
    <w:name w:val="批注文字 字符"/>
    <w:basedOn w:val="32"/>
    <w:link w:val="15"/>
    <w:autoRedefine/>
    <w:semiHidden/>
    <w:qFormat/>
    <w:uiPriority w:val="99"/>
    <w:rPr>
      <w:rFonts w:ascii="Times New Roman" w:hAnsi="Times New Roman" w:eastAsia="仿宋_GB2312" w:cs="Times New Roman"/>
      <w:szCs w:val="20"/>
    </w:rPr>
  </w:style>
  <w:style w:type="character" w:customStyle="1" w:styleId="56">
    <w:name w:val="批注框文本 字符"/>
    <w:basedOn w:val="32"/>
    <w:link w:val="19"/>
    <w:autoRedefine/>
    <w:semiHidden/>
    <w:qFormat/>
    <w:uiPriority w:val="99"/>
    <w:rPr>
      <w:rFonts w:ascii="Times New Roman" w:hAnsi="Times New Roman" w:eastAsia="仿宋_GB2312" w:cs="Times New Roman"/>
      <w:sz w:val="18"/>
      <w:szCs w:val="18"/>
    </w:rPr>
  </w:style>
  <w:style w:type="character" w:customStyle="1" w:styleId="57">
    <w:name w:val="脚注文本 字符"/>
    <w:basedOn w:val="32"/>
    <w:link w:val="24"/>
    <w:autoRedefine/>
    <w:qFormat/>
    <w:uiPriority w:val="99"/>
    <w:rPr>
      <w:rFonts w:ascii="Times New Roman" w:hAnsi="Times New Roman" w:eastAsia="仿宋_GB2312" w:cs="Times New Roman"/>
      <w:sz w:val="18"/>
      <w:szCs w:val="18"/>
    </w:rPr>
  </w:style>
  <w:style w:type="character" w:customStyle="1" w:styleId="58">
    <w:name w:val="批注主题 字符"/>
    <w:basedOn w:val="55"/>
    <w:link w:val="29"/>
    <w:autoRedefine/>
    <w:semiHidden/>
    <w:qFormat/>
    <w:uiPriority w:val="99"/>
    <w:rPr>
      <w:rFonts w:ascii="Times New Roman" w:hAnsi="Times New Roman" w:eastAsia="仿宋_GB2312" w:cs="Times New Roman"/>
      <w:b/>
      <w:bCs/>
      <w:szCs w:val="20"/>
    </w:rPr>
  </w:style>
  <w:style w:type="character" w:customStyle="1" w:styleId="59">
    <w:name w:val="Char Char Char2"/>
    <w:autoRedefine/>
    <w:qFormat/>
    <w:uiPriority w:val="0"/>
    <w:rPr>
      <w:rFonts w:eastAsia="宋体"/>
      <w:b/>
      <w:kern w:val="44"/>
      <w:sz w:val="44"/>
      <w:lang w:val="en-US" w:eastAsia="zh-CN"/>
    </w:rPr>
  </w:style>
  <w:style w:type="character" w:customStyle="1" w:styleId="60">
    <w:name w:val="副标题 Char"/>
    <w:link w:val="61"/>
    <w:autoRedefine/>
    <w:qFormat/>
    <w:uiPriority w:val="0"/>
    <w:rPr>
      <w:rFonts w:ascii="Cambria" w:hAnsi="Cambria"/>
      <w:b/>
      <w:kern w:val="28"/>
      <w:sz w:val="32"/>
    </w:rPr>
  </w:style>
  <w:style w:type="paragraph" w:customStyle="1" w:styleId="61">
    <w:name w:val="副标题1"/>
    <w:basedOn w:val="1"/>
    <w:next w:val="1"/>
    <w:link w:val="60"/>
    <w:autoRedefine/>
    <w:qFormat/>
    <w:uiPriority w:val="0"/>
    <w:pPr>
      <w:spacing w:before="240" w:after="60" w:line="312" w:lineRule="auto"/>
      <w:jc w:val="center"/>
      <w:outlineLvl w:val="1"/>
    </w:pPr>
    <w:rPr>
      <w:rFonts w:ascii="Cambria" w:hAnsi="Cambria" w:eastAsiaTheme="minorEastAsia" w:cstheme="minorBidi"/>
      <w:b/>
      <w:kern w:val="28"/>
      <w:sz w:val="32"/>
      <w:szCs w:val="22"/>
    </w:rPr>
  </w:style>
  <w:style w:type="character" w:customStyle="1" w:styleId="62">
    <w:name w:val="文档结构图 Char"/>
    <w:link w:val="63"/>
    <w:autoRedefine/>
    <w:qFormat/>
    <w:uiPriority w:val="99"/>
    <w:rPr>
      <w:rFonts w:eastAsia="宋体"/>
      <w:shd w:val="clear" w:color="auto" w:fill="000080"/>
    </w:rPr>
  </w:style>
  <w:style w:type="paragraph" w:customStyle="1" w:styleId="63">
    <w:name w:val="文档结构图1"/>
    <w:basedOn w:val="1"/>
    <w:link w:val="62"/>
    <w:autoRedefine/>
    <w:qFormat/>
    <w:uiPriority w:val="99"/>
    <w:pPr>
      <w:shd w:val="clear" w:color="auto" w:fill="000080"/>
    </w:pPr>
    <w:rPr>
      <w:rFonts w:eastAsia="宋体" w:asciiTheme="minorHAnsi" w:hAnsiTheme="minorHAnsi" w:cstheme="minorBidi"/>
      <w:szCs w:val="22"/>
    </w:rPr>
  </w:style>
  <w:style w:type="character" w:customStyle="1" w:styleId="64">
    <w:name w:val="HTML 样本1"/>
    <w:autoRedefine/>
    <w:qFormat/>
    <w:uiPriority w:val="0"/>
    <w:rPr>
      <w:rFonts w:ascii="Courier New" w:hAnsi="Courier New"/>
    </w:rPr>
  </w:style>
  <w:style w:type="character" w:customStyle="1" w:styleId="65">
    <w:name w:val="HTML 引文1"/>
    <w:autoRedefine/>
    <w:qFormat/>
    <w:uiPriority w:val="0"/>
    <w:rPr>
      <w:i/>
    </w:rPr>
  </w:style>
  <w:style w:type="character" w:customStyle="1" w:styleId="66">
    <w:name w:val="正文文本缩进 3 Char"/>
    <w:link w:val="67"/>
    <w:autoRedefine/>
    <w:qFormat/>
    <w:uiPriority w:val="0"/>
    <w:rPr>
      <w:rFonts w:eastAsia="宋体"/>
      <w:sz w:val="16"/>
    </w:rPr>
  </w:style>
  <w:style w:type="paragraph" w:customStyle="1" w:styleId="67">
    <w:name w:val="正文文本缩进 31"/>
    <w:basedOn w:val="1"/>
    <w:link w:val="66"/>
    <w:autoRedefine/>
    <w:qFormat/>
    <w:uiPriority w:val="0"/>
    <w:pPr>
      <w:spacing w:after="120"/>
      <w:ind w:left="420" w:leftChars="200"/>
    </w:pPr>
    <w:rPr>
      <w:rFonts w:eastAsia="宋体" w:asciiTheme="minorHAnsi" w:hAnsiTheme="minorHAnsi" w:cstheme="minorBidi"/>
      <w:sz w:val="16"/>
      <w:szCs w:val="22"/>
    </w:rPr>
  </w:style>
  <w:style w:type="character" w:customStyle="1" w:styleId="68">
    <w:name w:val="批注引用1"/>
    <w:autoRedefine/>
    <w:qFormat/>
    <w:uiPriority w:val="0"/>
    <w:rPr>
      <w:sz w:val="21"/>
    </w:rPr>
  </w:style>
  <w:style w:type="character" w:customStyle="1" w:styleId="69">
    <w:name w:val="尾注引用1"/>
    <w:autoRedefine/>
    <w:qFormat/>
    <w:uiPriority w:val="0"/>
    <w:rPr>
      <w:vertAlign w:val="superscript"/>
    </w:rPr>
  </w:style>
  <w:style w:type="character" w:customStyle="1" w:styleId="70">
    <w:name w:val="批注框文本 Char"/>
    <w:link w:val="71"/>
    <w:autoRedefine/>
    <w:qFormat/>
    <w:uiPriority w:val="0"/>
    <w:rPr>
      <w:rFonts w:eastAsia="宋体"/>
      <w:sz w:val="18"/>
    </w:rPr>
  </w:style>
  <w:style w:type="paragraph" w:customStyle="1" w:styleId="71">
    <w:name w:val="批注框文本1"/>
    <w:basedOn w:val="1"/>
    <w:link w:val="70"/>
    <w:autoRedefine/>
    <w:qFormat/>
    <w:uiPriority w:val="0"/>
    <w:rPr>
      <w:rFonts w:eastAsia="宋体" w:asciiTheme="minorHAnsi" w:hAnsiTheme="minorHAnsi" w:cstheme="minorBidi"/>
      <w:sz w:val="18"/>
      <w:szCs w:val="22"/>
    </w:rPr>
  </w:style>
  <w:style w:type="character" w:customStyle="1" w:styleId="72">
    <w:name w:val="HTML 键盘1"/>
    <w:autoRedefine/>
    <w:qFormat/>
    <w:uiPriority w:val="0"/>
    <w:rPr>
      <w:rFonts w:ascii="Courier New" w:hAnsi="Courier New"/>
      <w:sz w:val="20"/>
    </w:rPr>
  </w:style>
  <w:style w:type="character" w:customStyle="1" w:styleId="73">
    <w:name w:val="页脚 Char"/>
    <w:link w:val="74"/>
    <w:autoRedefine/>
    <w:qFormat/>
    <w:uiPriority w:val="99"/>
    <w:rPr>
      <w:rFonts w:eastAsia="宋体"/>
      <w:sz w:val="18"/>
    </w:rPr>
  </w:style>
  <w:style w:type="paragraph" w:customStyle="1" w:styleId="74">
    <w:name w:val="页脚1"/>
    <w:basedOn w:val="1"/>
    <w:link w:val="73"/>
    <w:autoRedefine/>
    <w:qFormat/>
    <w:uiPriority w:val="99"/>
    <w:pPr>
      <w:tabs>
        <w:tab w:val="center" w:pos="4153"/>
        <w:tab w:val="right" w:pos="8306"/>
      </w:tabs>
      <w:jc w:val="left"/>
    </w:pPr>
    <w:rPr>
      <w:rFonts w:eastAsia="宋体" w:asciiTheme="minorHAnsi" w:hAnsiTheme="minorHAnsi" w:cstheme="minorBidi"/>
      <w:sz w:val="18"/>
      <w:szCs w:val="22"/>
    </w:rPr>
  </w:style>
  <w:style w:type="character" w:customStyle="1" w:styleId="75">
    <w:name w:val="脚注引用1"/>
    <w:autoRedefine/>
    <w:qFormat/>
    <w:uiPriority w:val="0"/>
    <w:rPr>
      <w:vertAlign w:val="superscript"/>
    </w:rPr>
  </w:style>
  <w:style w:type="character" w:customStyle="1" w:styleId="76">
    <w:name w:val="已访问的超链接1"/>
    <w:autoRedefine/>
    <w:qFormat/>
    <w:uiPriority w:val="0"/>
    <w:rPr>
      <w:color w:val="800080"/>
      <w:u w:val="single"/>
    </w:rPr>
  </w:style>
  <w:style w:type="character" w:customStyle="1" w:styleId="77">
    <w:name w:val="正文文本缩进 2 Char"/>
    <w:link w:val="78"/>
    <w:autoRedefine/>
    <w:qFormat/>
    <w:uiPriority w:val="0"/>
    <w:rPr>
      <w:rFonts w:ascii="宋体" w:hAnsi="宋体" w:eastAsia="宋体"/>
    </w:rPr>
  </w:style>
  <w:style w:type="paragraph" w:customStyle="1" w:styleId="78">
    <w:name w:val="正文文本缩进 21"/>
    <w:basedOn w:val="1"/>
    <w:link w:val="77"/>
    <w:autoRedefine/>
    <w:qFormat/>
    <w:uiPriority w:val="0"/>
    <w:pPr>
      <w:spacing w:line="360" w:lineRule="auto"/>
      <w:ind w:right="12" w:rightChars="12" w:firstLine="489" w:firstLineChars="233"/>
    </w:pPr>
    <w:rPr>
      <w:rFonts w:ascii="宋体" w:hAnsi="宋体" w:eastAsia="宋体" w:cstheme="minorBidi"/>
      <w:szCs w:val="22"/>
    </w:rPr>
  </w:style>
  <w:style w:type="character" w:customStyle="1" w:styleId="79">
    <w:name w:val="标题 Char"/>
    <w:link w:val="80"/>
    <w:autoRedefine/>
    <w:qFormat/>
    <w:uiPriority w:val="0"/>
    <w:rPr>
      <w:rFonts w:ascii="Cambria" w:hAnsi="Cambria" w:eastAsia="宋体"/>
      <w:b/>
      <w:sz w:val="32"/>
    </w:rPr>
  </w:style>
  <w:style w:type="paragraph" w:customStyle="1" w:styleId="80">
    <w:name w:val="标题1"/>
    <w:basedOn w:val="1"/>
    <w:link w:val="79"/>
    <w:autoRedefine/>
    <w:qFormat/>
    <w:uiPriority w:val="0"/>
    <w:pPr>
      <w:spacing w:before="240" w:after="60"/>
      <w:jc w:val="center"/>
      <w:outlineLvl w:val="0"/>
    </w:pPr>
    <w:rPr>
      <w:rFonts w:ascii="Cambria" w:hAnsi="Cambria" w:eastAsia="宋体" w:cstheme="minorBidi"/>
      <w:b/>
      <w:sz w:val="32"/>
      <w:szCs w:val="22"/>
    </w:rPr>
  </w:style>
  <w:style w:type="character" w:customStyle="1" w:styleId="81">
    <w:name w:val="正文文本缩进 Char"/>
    <w:link w:val="82"/>
    <w:autoRedefine/>
    <w:qFormat/>
    <w:uiPriority w:val="0"/>
    <w:rPr>
      <w:rFonts w:eastAsia="宋体"/>
    </w:rPr>
  </w:style>
  <w:style w:type="paragraph" w:customStyle="1" w:styleId="82">
    <w:name w:val="正文文本缩进1"/>
    <w:basedOn w:val="1"/>
    <w:link w:val="81"/>
    <w:autoRedefine/>
    <w:qFormat/>
    <w:uiPriority w:val="0"/>
    <w:pPr>
      <w:spacing w:after="120"/>
      <w:ind w:left="420" w:leftChars="200"/>
    </w:pPr>
    <w:rPr>
      <w:rFonts w:eastAsia="宋体" w:asciiTheme="minorHAnsi" w:hAnsiTheme="minorHAnsi" w:cstheme="minorBidi"/>
      <w:szCs w:val="22"/>
    </w:rPr>
  </w:style>
  <w:style w:type="character" w:customStyle="1" w:styleId="83">
    <w:name w:val="HTML 缩写1"/>
    <w:basedOn w:val="32"/>
    <w:autoRedefine/>
    <w:qFormat/>
    <w:uiPriority w:val="0"/>
  </w:style>
  <w:style w:type="character" w:customStyle="1" w:styleId="84">
    <w:name w:val="脚注文本 Char"/>
    <w:link w:val="85"/>
    <w:autoRedefine/>
    <w:qFormat/>
    <w:uiPriority w:val="0"/>
    <w:rPr>
      <w:rFonts w:eastAsia="宋体"/>
      <w:sz w:val="18"/>
    </w:rPr>
  </w:style>
  <w:style w:type="paragraph" w:customStyle="1" w:styleId="85">
    <w:name w:val="脚注文本1"/>
    <w:basedOn w:val="1"/>
    <w:link w:val="84"/>
    <w:autoRedefine/>
    <w:qFormat/>
    <w:uiPriority w:val="0"/>
    <w:pPr>
      <w:jc w:val="left"/>
    </w:pPr>
    <w:rPr>
      <w:rFonts w:eastAsia="宋体" w:asciiTheme="minorHAnsi" w:hAnsiTheme="minorHAnsi" w:cstheme="minorBidi"/>
      <w:sz w:val="18"/>
      <w:szCs w:val="22"/>
    </w:rPr>
  </w:style>
  <w:style w:type="character" w:customStyle="1" w:styleId="86">
    <w:name w:val="HTML 定义1"/>
    <w:autoRedefine/>
    <w:qFormat/>
    <w:uiPriority w:val="0"/>
    <w:rPr>
      <w:i/>
    </w:rPr>
  </w:style>
  <w:style w:type="character" w:customStyle="1" w:styleId="87">
    <w:name w:val="不明显强调1"/>
    <w:autoRedefine/>
    <w:qFormat/>
    <w:uiPriority w:val="0"/>
    <w:rPr>
      <w:i/>
      <w:color w:val="808080"/>
    </w:rPr>
  </w:style>
  <w:style w:type="character" w:customStyle="1" w:styleId="88">
    <w:name w:val="批注主题 Char"/>
    <w:link w:val="89"/>
    <w:autoRedefine/>
    <w:qFormat/>
    <w:uiPriority w:val="99"/>
    <w:rPr>
      <w:rFonts w:eastAsia="宋体"/>
      <w:b/>
    </w:rPr>
  </w:style>
  <w:style w:type="paragraph" w:customStyle="1" w:styleId="89">
    <w:name w:val="批注主题1"/>
    <w:basedOn w:val="90"/>
    <w:next w:val="90"/>
    <w:link w:val="88"/>
    <w:autoRedefine/>
    <w:qFormat/>
    <w:uiPriority w:val="99"/>
    <w:rPr>
      <w:rFonts w:eastAsia="宋体" w:asciiTheme="minorHAnsi" w:hAnsiTheme="minorHAnsi" w:cstheme="minorBidi"/>
      <w:b/>
      <w:szCs w:val="22"/>
    </w:rPr>
  </w:style>
  <w:style w:type="paragraph" w:customStyle="1" w:styleId="90">
    <w:name w:val="批注文字1"/>
    <w:basedOn w:val="1"/>
    <w:link w:val="91"/>
    <w:autoRedefine/>
    <w:qFormat/>
    <w:uiPriority w:val="0"/>
    <w:pPr>
      <w:jc w:val="left"/>
    </w:pPr>
  </w:style>
  <w:style w:type="character" w:customStyle="1" w:styleId="91">
    <w:name w:val="批注文字 Char"/>
    <w:link w:val="90"/>
    <w:autoRedefine/>
    <w:qFormat/>
    <w:uiPriority w:val="0"/>
    <w:rPr>
      <w:rFonts w:ascii="Times New Roman" w:hAnsi="Times New Roman" w:eastAsia="仿宋_GB2312" w:cs="Times New Roman"/>
      <w:szCs w:val="20"/>
    </w:rPr>
  </w:style>
  <w:style w:type="character" w:customStyle="1" w:styleId="92">
    <w:name w:val="Plain Text Char Char Char Char Char"/>
    <w:autoRedefine/>
    <w:qFormat/>
    <w:uiPriority w:val="0"/>
    <w:rPr>
      <w:rFonts w:ascii="宋体" w:hAnsi="Courier New" w:eastAsia="宋体"/>
      <w:kern w:val="2"/>
      <w:sz w:val="21"/>
      <w:lang w:val="en-US" w:eastAsia="zh-CN"/>
    </w:rPr>
  </w:style>
  <w:style w:type="character" w:customStyle="1" w:styleId="93">
    <w:name w:val="HTML 预设格式 Char"/>
    <w:link w:val="94"/>
    <w:autoRedefine/>
    <w:qFormat/>
    <w:uiPriority w:val="0"/>
    <w:rPr>
      <w:rFonts w:ascii="Courier New" w:hAnsi="Courier New" w:eastAsia="宋体"/>
    </w:rPr>
  </w:style>
  <w:style w:type="paragraph" w:customStyle="1" w:styleId="94">
    <w:name w:val="HTML 预设格式1"/>
    <w:basedOn w:val="1"/>
    <w:link w:val="93"/>
    <w:autoRedefine/>
    <w:qFormat/>
    <w:uiPriority w:val="0"/>
    <w:rPr>
      <w:rFonts w:ascii="Courier New" w:hAnsi="Courier New" w:eastAsia="宋体" w:cstheme="minorBidi"/>
      <w:szCs w:val="22"/>
    </w:rPr>
  </w:style>
  <w:style w:type="character" w:customStyle="1" w:styleId="95">
    <w:name w:val="个人撰写风格"/>
    <w:autoRedefine/>
    <w:qFormat/>
    <w:uiPriority w:val="0"/>
    <w:rPr>
      <w:rFonts w:ascii="Arial" w:hAnsi="Arial" w:eastAsia="宋体"/>
      <w:color w:val="auto"/>
      <w:sz w:val="20"/>
    </w:rPr>
  </w:style>
  <w:style w:type="character" w:customStyle="1" w:styleId="96">
    <w:name w:val="Char Char Char1"/>
    <w:autoRedefine/>
    <w:qFormat/>
    <w:uiPriority w:val="0"/>
    <w:rPr>
      <w:rFonts w:eastAsia="宋体"/>
      <w:b/>
      <w:kern w:val="44"/>
      <w:sz w:val="44"/>
      <w:lang w:val="en-US" w:eastAsia="zh-CN"/>
    </w:rPr>
  </w:style>
  <w:style w:type="character" w:customStyle="1" w:styleId="97">
    <w:name w:val="HTML 代码1"/>
    <w:autoRedefine/>
    <w:qFormat/>
    <w:uiPriority w:val="0"/>
    <w:rPr>
      <w:rFonts w:ascii="Courier New" w:hAnsi="Courier New"/>
      <w:sz w:val="20"/>
    </w:rPr>
  </w:style>
  <w:style w:type="character" w:customStyle="1" w:styleId="98">
    <w:name w:val="纯文本 Char"/>
    <w:link w:val="99"/>
    <w:autoRedefine/>
    <w:qFormat/>
    <w:uiPriority w:val="0"/>
    <w:rPr>
      <w:rFonts w:ascii="宋体" w:hAnsi="Courier New" w:eastAsia="宋体"/>
    </w:rPr>
  </w:style>
  <w:style w:type="paragraph" w:customStyle="1" w:styleId="99">
    <w:name w:val="纯文本1"/>
    <w:basedOn w:val="1"/>
    <w:link w:val="98"/>
    <w:autoRedefine/>
    <w:qFormat/>
    <w:uiPriority w:val="0"/>
    <w:rPr>
      <w:rFonts w:ascii="宋体" w:hAnsi="Courier New" w:eastAsia="宋体" w:cstheme="minorBidi"/>
      <w:szCs w:val="22"/>
    </w:rPr>
  </w:style>
  <w:style w:type="character" w:customStyle="1" w:styleId="100">
    <w:name w:val="尾注文本 Char"/>
    <w:link w:val="101"/>
    <w:autoRedefine/>
    <w:qFormat/>
    <w:uiPriority w:val="0"/>
    <w:rPr>
      <w:rFonts w:eastAsia="宋体"/>
    </w:rPr>
  </w:style>
  <w:style w:type="paragraph" w:customStyle="1" w:styleId="101">
    <w:name w:val="尾注文本1"/>
    <w:basedOn w:val="1"/>
    <w:link w:val="100"/>
    <w:autoRedefine/>
    <w:qFormat/>
    <w:uiPriority w:val="0"/>
    <w:pPr>
      <w:jc w:val="left"/>
    </w:pPr>
    <w:rPr>
      <w:rFonts w:eastAsia="宋体" w:asciiTheme="minorHAnsi" w:hAnsiTheme="minorHAnsi" w:cstheme="minorBidi"/>
      <w:szCs w:val="22"/>
    </w:rPr>
  </w:style>
  <w:style w:type="character" w:customStyle="1" w:styleId="102">
    <w:name w:val="日期 Char"/>
    <w:link w:val="103"/>
    <w:autoRedefine/>
    <w:qFormat/>
    <w:uiPriority w:val="0"/>
    <w:rPr>
      <w:rFonts w:eastAsia="宋体"/>
    </w:rPr>
  </w:style>
  <w:style w:type="paragraph" w:customStyle="1" w:styleId="103">
    <w:name w:val="日期1"/>
    <w:basedOn w:val="1"/>
    <w:next w:val="1"/>
    <w:link w:val="102"/>
    <w:autoRedefine/>
    <w:qFormat/>
    <w:uiPriority w:val="0"/>
    <w:pPr>
      <w:ind w:left="100" w:leftChars="2500"/>
    </w:pPr>
    <w:rPr>
      <w:rFonts w:eastAsia="宋体" w:asciiTheme="minorHAnsi" w:hAnsiTheme="minorHAnsi" w:cstheme="minorBidi"/>
      <w:szCs w:val="22"/>
    </w:rPr>
  </w:style>
  <w:style w:type="character" w:customStyle="1" w:styleId="104">
    <w:name w:val="HTML 变量1"/>
    <w:autoRedefine/>
    <w:qFormat/>
    <w:uiPriority w:val="0"/>
    <w:rPr>
      <w:i/>
    </w:rPr>
  </w:style>
  <w:style w:type="character" w:customStyle="1" w:styleId="105">
    <w:name w:val="HTML 地址 Char"/>
    <w:link w:val="106"/>
    <w:autoRedefine/>
    <w:qFormat/>
    <w:uiPriority w:val="0"/>
    <w:rPr>
      <w:rFonts w:eastAsia="宋体"/>
      <w:i/>
    </w:rPr>
  </w:style>
  <w:style w:type="paragraph" w:customStyle="1" w:styleId="106">
    <w:name w:val="HTML 地址1"/>
    <w:basedOn w:val="1"/>
    <w:link w:val="105"/>
    <w:autoRedefine/>
    <w:qFormat/>
    <w:uiPriority w:val="0"/>
    <w:rPr>
      <w:rFonts w:eastAsia="宋体" w:asciiTheme="minorHAnsi" w:hAnsiTheme="minorHAnsi" w:cstheme="minorBidi"/>
      <w:i/>
      <w:szCs w:val="22"/>
    </w:rPr>
  </w:style>
  <w:style w:type="character" w:customStyle="1" w:styleId="107">
    <w:name w:val="HTML 打字机1"/>
    <w:autoRedefine/>
    <w:qFormat/>
    <w:uiPriority w:val="0"/>
    <w:rPr>
      <w:rFonts w:ascii="Courier New" w:hAnsi="Courier New"/>
      <w:sz w:val="20"/>
    </w:rPr>
  </w:style>
  <w:style w:type="character" w:customStyle="1" w:styleId="108">
    <w:name w:val="个人答复风格"/>
    <w:autoRedefine/>
    <w:qFormat/>
    <w:uiPriority w:val="0"/>
    <w:rPr>
      <w:rFonts w:ascii="Arial" w:hAnsi="Arial" w:eastAsia="宋体"/>
      <w:color w:val="auto"/>
      <w:sz w:val="20"/>
    </w:rPr>
  </w:style>
  <w:style w:type="character" w:customStyle="1" w:styleId="109">
    <w:name w:val="正文文本 Char"/>
    <w:link w:val="110"/>
    <w:autoRedefine/>
    <w:qFormat/>
    <w:uiPriority w:val="0"/>
    <w:rPr>
      <w:rFonts w:eastAsia="宋体"/>
    </w:rPr>
  </w:style>
  <w:style w:type="paragraph" w:customStyle="1" w:styleId="110">
    <w:name w:val="正文文本1"/>
    <w:basedOn w:val="1"/>
    <w:link w:val="109"/>
    <w:autoRedefine/>
    <w:qFormat/>
    <w:uiPriority w:val="0"/>
    <w:pPr>
      <w:spacing w:after="120"/>
    </w:pPr>
    <w:rPr>
      <w:rFonts w:eastAsia="宋体" w:asciiTheme="minorHAnsi" w:hAnsiTheme="minorHAnsi" w:cstheme="minorBidi"/>
      <w:szCs w:val="22"/>
    </w:rPr>
  </w:style>
  <w:style w:type="character" w:customStyle="1" w:styleId="111">
    <w:name w:val="页眉 Char"/>
    <w:link w:val="112"/>
    <w:autoRedefine/>
    <w:qFormat/>
    <w:uiPriority w:val="99"/>
    <w:rPr>
      <w:rFonts w:eastAsia="宋体"/>
      <w:sz w:val="18"/>
    </w:rPr>
  </w:style>
  <w:style w:type="paragraph" w:customStyle="1" w:styleId="112">
    <w:name w:val="页眉1"/>
    <w:basedOn w:val="1"/>
    <w:link w:val="111"/>
    <w:autoRedefine/>
    <w:qFormat/>
    <w:uiPriority w:val="99"/>
    <w:pPr>
      <w:pBdr>
        <w:bottom w:val="single" w:color="auto" w:sz="6" w:space="1"/>
      </w:pBdr>
      <w:tabs>
        <w:tab w:val="center" w:pos="4153"/>
        <w:tab w:val="right" w:pos="8306"/>
      </w:tabs>
      <w:jc w:val="center"/>
    </w:pPr>
    <w:rPr>
      <w:rFonts w:eastAsia="宋体" w:asciiTheme="minorHAnsi" w:hAnsiTheme="minorHAnsi" w:cstheme="minorBidi"/>
      <w:sz w:val="18"/>
      <w:szCs w:val="22"/>
    </w:rPr>
  </w:style>
  <w:style w:type="character" w:customStyle="1" w:styleId="113">
    <w:name w:val="发布"/>
    <w:autoRedefine/>
    <w:qFormat/>
    <w:uiPriority w:val="0"/>
    <w:rPr>
      <w:rFonts w:ascii="黑体" w:eastAsia="黑体"/>
      <w:spacing w:val="22"/>
      <w:w w:val="100"/>
      <w:position w:val="3"/>
      <w:sz w:val="28"/>
    </w:rPr>
  </w:style>
  <w:style w:type="character" w:customStyle="1" w:styleId="114">
    <w:name w:val="Char Char Char"/>
    <w:autoRedefine/>
    <w:qFormat/>
    <w:uiPriority w:val="0"/>
    <w:rPr>
      <w:rFonts w:eastAsia="宋体"/>
      <w:b/>
      <w:kern w:val="44"/>
      <w:sz w:val="44"/>
      <w:lang w:val="en-US" w:eastAsia="zh-CN"/>
    </w:rPr>
  </w:style>
  <w:style w:type="character" w:customStyle="1" w:styleId="115">
    <w:name w:val="页码1"/>
    <w:basedOn w:val="32"/>
    <w:autoRedefine/>
    <w:qFormat/>
    <w:uiPriority w:val="0"/>
  </w:style>
  <w:style w:type="paragraph" w:customStyle="1" w:styleId="116">
    <w:name w:val="样式 标题 3条标题1.1.1h33rd level3Head 3sect1.2.3H3level_3PIM ..."/>
    <w:basedOn w:val="4"/>
    <w:autoRedefine/>
    <w:qFormat/>
    <w:uiPriority w:val="0"/>
    <w:pPr>
      <w:numPr>
        <w:ilvl w:val="0"/>
        <w:numId w:val="0"/>
      </w:numPr>
      <w:tabs>
        <w:tab w:val="left" w:pos="709"/>
      </w:tabs>
      <w:spacing w:beforeLines="100" w:afterLines="100" w:line="240" w:lineRule="auto"/>
      <w:ind w:left="709" w:hanging="709"/>
    </w:pPr>
    <w:rPr>
      <w:b w:val="0"/>
      <w:kern w:val="28"/>
      <w:sz w:val="30"/>
    </w:rPr>
  </w:style>
  <w:style w:type="paragraph" w:customStyle="1" w:styleId="117">
    <w:name w:val="无标题条"/>
    <w:next w:val="118"/>
    <w:autoRedefine/>
    <w:qFormat/>
    <w:uiPriority w:val="0"/>
    <w:pPr>
      <w:jc w:val="both"/>
    </w:pPr>
    <w:rPr>
      <w:rFonts w:ascii="Times New Roman" w:hAnsi="Times New Roman" w:eastAsia="宋体" w:cs="Times New Roman"/>
      <w:kern w:val="2"/>
      <w:sz w:val="21"/>
      <w:lang w:val="en-US" w:eastAsia="zh-CN" w:bidi="ar-SA"/>
    </w:rPr>
  </w:style>
  <w:style w:type="paragraph" w:customStyle="1" w:styleId="118">
    <w:name w:val="段"/>
    <w:autoRedefine/>
    <w:qFormat/>
    <w:uiPriority w:val="0"/>
    <w:pPr>
      <w:autoSpaceDE w:val="0"/>
      <w:autoSpaceDN w:val="0"/>
      <w:ind w:firstLine="200" w:firstLineChars="200"/>
      <w:jc w:val="both"/>
    </w:pPr>
    <w:rPr>
      <w:rFonts w:ascii="宋体" w:hAnsi="Times New Roman" w:eastAsia="宋体" w:cs="Times New Roman"/>
      <w:kern w:val="2"/>
      <w:sz w:val="21"/>
      <w:lang w:val="en-US" w:eastAsia="zh-CN" w:bidi="ar-SA"/>
    </w:rPr>
  </w:style>
  <w:style w:type="paragraph" w:customStyle="1" w:styleId="119">
    <w:name w:val="封面标准代替信息"/>
    <w:basedOn w:val="120"/>
    <w:autoRedefine/>
    <w:qFormat/>
    <w:uiPriority w:val="0"/>
    <w:pPr>
      <w:spacing w:before="57"/>
    </w:pPr>
    <w:rPr>
      <w:rFonts w:ascii="宋体"/>
      <w:sz w:val="21"/>
    </w:rPr>
  </w:style>
  <w:style w:type="paragraph" w:customStyle="1" w:styleId="120">
    <w:name w:val="封面标准号2"/>
    <w:basedOn w:val="121"/>
    <w:autoRedefine/>
    <w:qFormat/>
    <w:uiPriority w:val="0"/>
    <w:pPr>
      <w:adjustRightInd w:val="0"/>
      <w:spacing w:before="357" w:line="280" w:lineRule="exact"/>
    </w:pPr>
  </w:style>
  <w:style w:type="paragraph" w:customStyle="1" w:styleId="121">
    <w:name w:val="封面标准号1"/>
    <w:autoRedefine/>
    <w:qFormat/>
    <w:uiPriority w:val="0"/>
    <w:pPr>
      <w:widowControl w:val="0"/>
      <w:kinsoku w:val="0"/>
      <w:overflowPunct w:val="0"/>
      <w:autoSpaceDE w:val="0"/>
      <w:autoSpaceDN w:val="0"/>
      <w:spacing w:before="308"/>
      <w:jc w:val="right"/>
      <w:textAlignment w:val="center"/>
    </w:pPr>
    <w:rPr>
      <w:rFonts w:ascii="Times New Roman" w:hAnsi="Times New Roman" w:eastAsia="宋体" w:cs="Times New Roman"/>
      <w:kern w:val="2"/>
      <w:sz w:val="28"/>
      <w:lang w:val="en-US" w:eastAsia="zh-CN" w:bidi="ar-SA"/>
    </w:rPr>
  </w:style>
  <w:style w:type="paragraph" w:customStyle="1" w:styleId="122">
    <w:name w:val="图表目录1"/>
    <w:basedOn w:val="1"/>
    <w:next w:val="1"/>
    <w:autoRedefine/>
    <w:qFormat/>
    <w:uiPriority w:val="0"/>
    <w:pPr>
      <w:ind w:left="840" w:leftChars="200" w:hanging="420" w:hangingChars="200"/>
    </w:pPr>
  </w:style>
  <w:style w:type="paragraph" w:customStyle="1" w:styleId="123">
    <w:name w:val="CM6"/>
    <w:basedOn w:val="1"/>
    <w:next w:val="1"/>
    <w:autoRedefine/>
    <w:qFormat/>
    <w:uiPriority w:val="0"/>
    <w:pPr>
      <w:autoSpaceDE w:val="0"/>
      <w:autoSpaceDN w:val="0"/>
      <w:spacing w:line="313" w:lineRule="atLeast"/>
      <w:jc w:val="left"/>
    </w:pPr>
    <w:rPr>
      <w:kern w:val="0"/>
      <w:sz w:val="24"/>
    </w:rPr>
  </w:style>
  <w:style w:type="paragraph" w:customStyle="1" w:styleId="124">
    <w:name w:val="前言、引言标题"/>
    <w:next w:val="1"/>
    <w:autoRedefine/>
    <w:qFormat/>
    <w:uiPriority w:val="0"/>
    <w:pPr>
      <w:shd w:val="clear" w:color="FFFFFF" w:fill="FFFFFF"/>
      <w:spacing w:before="640" w:after="560"/>
      <w:jc w:val="center"/>
      <w:outlineLvl w:val="0"/>
    </w:pPr>
    <w:rPr>
      <w:rFonts w:ascii="黑体" w:hAnsi="Times New Roman" w:eastAsia="黑体" w:cs="Times New Roman"/>
      <w:kern w:val="2"/>
      <w:sz w:val="32"/>
      <w:lang w:val="en-US" w:eastAsia="zh-CN" w:bidi="ar-SA"/>
    </w:rPr>
  </w:style>
  <w:style w:type="paragraph" w:customStyle="1" w:styleId="125">
    <w:name w:val="xl33"/>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eastAsia="Arial Unicode MS"/>
      <w:color w:val="000000"/>
      <w:kern w:val="0"/>
      <w:sz w:val="24"/>
    </w:rPr>
  </w:style>
  <w:style w:type="paragraph" w:customStyle="1" w:styleId="126">
    <w:name w:val="标准书脚_偶数页"/>
    <w:autoRedefine/>
    <w:qFormat/>
    <w:uiPriority w:val="0"/>
    <w:pPr>
      <w:spacing w:before="120"/>
    </w:pPr>
    <w:rPr>
      <w:rFonts w:ascii="Times New Roman" w:hAnsi="Times New Roman" w:eastAsia="宋体" w:cs="Times New Roman"/>
      <w:kern w:val="2"/>
      <w:sz w:val="18"/>
      <w:lang w:val="en-US" w:eastAsia="zh-CN" w:bidi="ar-SA"/>
    </w:rPr>
  </w:style>
  <w:style w:type="paragraph" w:customStyle="1" w:styleId="127">
    <w:name w:val="三级无标题条"/>
    <w:basedOn w:val="1"/>
    <w:autoRedefine/>
    <w:qFormat/>
    <w:uiPriority w:val="0"/>
    <w:pPr>
      <w:tabs>
        <w:tab w:val="left" w:pos="1008"/>
      </w:tabs>
      <w:ind w:left="1008" w:hanging="1008"/>
    </w:pPr>
  </w:style>
  <w:style w:type="paragraph" w:customStyle="1" w:styleId="128">
    <w:name w:val="xl70"/>
    <w:basedOn w:val="1"/>
    <w:autoRedefine/>
    <w:qFormat/>
    <w:uiPriority w:val="0"/>
    <w:pPr>
      <w:widowControl/>
      <w:pBdr>
        <w:bottom w:val="single" w:color="auto" w:sz="8" w:space="0"/>
        <w:right w:val="single" w:color="auto" w:sz="8" w:space="0"/>
      </w:pBdr>
      <w:spacing w:before="100" w:beforeAutospacing="1" w:after="100" w:afterAutospacing="1"/>
      <w:jc w:val="center"/>
    </w:pPr>
    <w:rPr>
      <w:kern w:val="0"/>
    </w:rPr>
  </w:style>
  <w:style w:type="paragraph" w:customStyle="1" w:styleId="129">
    <w:name w:val="Char Char Char3 Char Char Char Char1"/>
    <w:basedOn w:val="1"/>
    <w:autoRedefine/>
    <w:qFormat/>
    <w:uiPriority w:val="0"/>
    <w:pPr>
      <w:spacing w:line="360" w:lineRule="auto"/>
    </w:pPr>
    <w:rPr>
      <w:sz w:val="24"/>
    </w:rPr>
  </w:style>
  <w:style w:type="paragraph" w:customStyle="1" w:styleId="130">
    <w:name w:val="xl84"/>
    <w:basedOn w:val="1"/>
    <w:autoRedefine/>
    <w:qFormat/>
    <w:uiPriority w:val="0"/>
    <w:pPr>
      <w:widowControl/>
      <w:pBdr>
        <w:top w:val="single" w:color="auto" w:sz="8" w:space="0"/>
        <w:bottom w:val="single" w:color="auto" w:sz="8" w:space="0"/>
        <w:right w:val="single" w:color="auto" w:sz="8" w:space="0"/>
      </w:pBdr>
      <w:spacing w:before="100" w:beforeAutospacing="1" w:after="100" w:afterAutospacing="1"/>
      <w:jc w:val="center"/>
    </w:pPr>
    <w:rPr>
      <w:rFonts w:ascii="宋体" w:hAnsi="宋体"/>
      <w:kern w:val="0"/>
    </w:rPr>
  </w:style>
  <w:style w:type="paragraph" w:customStyle="1" w:styleId="131">
    <w:name w:val="font5"/>
    <w:basedOn w:val="1"/>
    <w:autoRedefine/>
    <w:qFormat/>
    <w:uiPriority w:val="0"/>
    <w:pPr>
      <w:widowControl/>
      <w:spacing w:before="100" w:beforeAutospacing="1" w:after="100" w:afterAutospacing="1"/>
      <w:jc w:val="left"/>
    </w:pPr>
    <w:rPr>
      <w:color w:val="000000"/>
      <w:kern w:val="0"/>
    </w:rPr>
  </w:style>
  <w:style w:type="paragraph" w:customStyle="1" w:styleId="132">
    <w:name w:val="正文缩进1"/>
    <w:basedOn w:val="1"/>
    <w:autoRedefine/>
    <w:qFormat/>
    <w:uiPriority w:val="0"/>
    <w:pPr>
      <w:spacing w:line="400" w:lineRule="exact"/>
      <w:ind w:firstLine="567"/>
    </w:pPr>
  </w:style>
  <w:style w:type="paragraph" w:customStyle="1" w:styleId="133">
    <w:name w:val="条文脚注"/>
    <w:basedOn w:val="85"/>
    <w:autoRedefine/>
    <w:qFormat/>
    <w:uiPriority w:val="0"/>
    <w:pPr>
      <w:ind w:left="780" w:leftChars="200" w:hanging="360" w:hangingChars="200"/>
      <w:jc w:val="both"/>
    </w:pPr>
    <w:rPr>
      <w:rFonts w:ascii="宋体"/>
      <w:kern w:val="0"/>
    </w:rPr>
  </w:style>
  <w:style w:type="paragraph" w:customStyle="1" w:styleId="134">
    <w:name w:val="三级条标题"/>
    <w:basedOn w:val="135"/>
    <w:next w:val="1"/>
    <w:autoRedefine/>
    <w:qFormat/>
    <w:uiPriority w:val="0"/>
    <w:pPr>
      <w:outlineLvl w:val="4"/>
    </w:pPr>
  </w:style>
  <w:style w:type="paragraph" w:customStyle="1" w:styleId="135">
    <w:name w:val="二级条标题"/>
    <w:basedOn w:val="136"/>
    <w:next w:val="1"/>
    <w:autoRedefine/>
    <w:qFormat/>
    <w:uiPriority w:val="0"/>
    <w:pPr>
      <w:outlineLvl w:val="3"/>
    </w:pPr>
  </w:style>
  <w:style w:type="paragraph" w:customStyle="1" w:styleId="136">
    <w:name w:val="一级条标题"/>
    <w:basedOn w:val="137"/>
    <w:next w:val="1"/>
    <w:autoRedefine/>
    <w:qFormat/>
    <w:uiPriority w:val="0"/>
    <w:pPr>
      <w:outlineLvl w:val="2"/>
    </w:pPr>
  </w:style>
  <w:style w:type="paragraph" w:customStyle="1" w:styleId="137">
    <w:name w:val="章标题"/>
    <w:next w:val="1"/>
    <w:autoRedefine/>
    <w:qFormat/>
    <w:uiPriority w:val="0"/>
    <w:pPr>
      <w:spacing w:beforeLines="50" w:afterLines="50"/>
      <w:ind w:left="720"/>
      <w:jc w:val="both"/>
      <w:outlineLvl w:val="1"/>
    </w:pPr>
    <w:rPr>
      <w:rFonts w:ascii="黑体" w:hAnsi="Times New Roman" w:eastAsia="黑体" w:cs="Times New Roman"/>
      <w:kern w:val="2"/>
      <w:sz w:val="21"/>
      <w:lang w:val="en-US" w:eastAsia="zh-CN" w:bidi="ar-SA"/>
    </w:rPr>
  </w:style>
  <w:style w:type="paragraph" w:customStyle="1" w:styleId="138">
    <w:name w:val="注："/>
    <w:next w:val="118"/>
    <w:autoRedefine/>
    <w:qFormat/>
    <w:uiPriority w:val="0"/>
    <w:pPr>
      <w:widowControl w:val="0"/>
      <w:tabs>
        <w:tab w:val="left" w:pos="1140"/>
      </w:tabs>
      <w:autoSpaceDE w:val="0"/>
      <w:autoSpaceDN w:val="0"/>
      <w:ind w:left="840" w:hanging="420"/>
      <w:jc w:val="both"/>
    </w:pPr>
    <w:rPr>
      <w:rFonts w:ascii="宋体" w:hAnsi="Times New Roman" w:eastAsia="宋体" w:cs="Times New Roman"/>
      <w:kern w:val="2"/>
      <w:sz w:val="18"/>
      <w:lang w:val="en-US" w:eastAsia="zh-CN" w:bidi="ar-SA"/>
    </w:rPr>
  </w:style>
  <w:style w:type="paragraph" w:customStyle="1" w:styleId="139">
    <w:name w:val="封面标准英文名称"/>
    <w:autoRedefine/>
    <w:qFormat/>
    <w:uiPriority w:val="0"/>
    <w:pPr>
      <w:widowControl w:val="0"/>
      <w:spacing w:before="370" w:line="400" w:lineRule="exact"/>
      <w:jc w:val="center"/>
    </w:pPr>
    <w:rPr>
      <w:rFonts w:ascii="Times New Roman" w:hAnsi="Times New Roman" w:eastAsia="宋体" w:cs="Times New Roman"/>
      <w:kern w:val="2"/>
      <w:sz w:val="28"/>
      <w:lang w:val="en-US" w:eastAsia="zh-CN" w:bidi="ar-SA"/>
    </w:rPr>
  </w:style>
  <w:style w:type="paragraph" w:customStyle="1" w:styleId="140">
    <w:name w:val="列出段落1"/>
    <w:basedOn w:val="1"/>
    <w:autoRedefine/>
    <w:qFormat/>
    <w:uiPriority w:val="0"/>
    <w:pPr>
      <w:ind w:firstLine="420" w:firstLineChars="200"/>
    </w:pPr>
    <w:rPr>
      <w:rFonts w:ascii="Calibri" w:hAnsi="Calibri"/>
    </w:rPr>
  </w:style>
  <w:style w:type="paragraph" w:customStyle="1" w:styleId="141">
    <w:name w:val="参考文献、索引标题"/>
    <w:basedOn w:val="124"/>
    <w:next w:val="1"/>
    <w:autoRedefine/>
    <w:qFormat/>
    <w:uiPriority w:val="0"/>
    <w:pPr>
      <w:spacing w:after="200"/>
    </w:pPr>
    <w:rPr>
      <w:sz w:val="21"/>
    </w:rPr>
  </w:style>
  <w:style w:type="paragraph" w:customStyle="1" w:styleId="142">
    <w:name w:val="Char Char Char Char Char Char Char Char Char Char Char Char1"/>
    <w:basedOn w:val="1"/>
    <w:autoRedefine/>
    <w:qFormat/>
    <w:uiPriority w:val="0"/>
    <w:pPr>
      <w:spacing w:line="240" w:lineRule="atLeast"/>
      <w:ind w:left="420" w:firstLine="420"/>
    </w:pPr>
    <w:rPr>
      <w:kern w:val="0"/>
    </w:rPr>
  </w:style>
  <w:style w:type="paragraph" w:customStyle="1" w:styleId="143">
    <w:name w:val="发布日期"/>
    <w:autoRedefine/>
    <w:qFormat/>
    <w:uiPriority w:val="0"/>
    <w:rPr>
      <w:rFonts w:ascii="Times New Roman" w:hAnsi="Times New Roman" w:eastAsia="黑体" w:cs="Times New Roman"/>
      <w:kern w:val="2"/>
      <w:sz w:val="28"/>
      <w:lang w:val="en-US" w:eastAsia="zh-CN" w:bidi="ar-SA"/>
    </w:rPr>
  </w:style>
  <w:style w:type="paragraph" w:customStyle="1" w:styleId="144">
    <w:name w:val="Char Char Char Char"/>
    <w:basedOn w:val="1"/>
    <w:autoRedefine/>
    <w:qFormat/>
    <w:uiPriority w:val="0"/>
    <w:rPr>
      <w:rFonts w:eastAsia="方正仿宋_GBK"/>
      <w:sz w:val="32"/>
    </w:rPr>
  </w:style>
  <w:style w:type="paragraph" w:customStyle="1" w:styleId="145">
    <w:name w:val="注×："/>
    <w:autoRedefine/>
    <w:qFormat/>
    <w:uiPriority w:val="0"/>
    <w:pPr>
      <w:widowControl w:val="0"/>
      <w:tabs>
        <w:tab w:val="left" w:pos="630"/>
        <w:tab w:val="left" w:pos="900"/>
      </w:tabs>
      <w:autoSpaceDE w:val="0"/>
      <w:autoSpaceDN w:val="0"/>
      <w:ind w:left="900" w:hanging="500"/>
      <w:jc w:val="both"/>
    </w:pPr>
    <w:rPr>
      <w:rFonts w:ascii="宋体" w:hAnsi="Times New Roman" w:eastAsia="宋体" w:cs="Times New Roman"/>
      <w:kern w:val="2"/>
      <w:sz w:val="18"/>
      <w:lang w:val="en-US" w:eastAsia="zh-CN" w:bidi="ar-SA"/>
    </w:rPr>
  </w:style>
  <w:style w:type="paragraph" w:customStyle="1" w:styleId="146">
    <w:name w:val="字母编号列项（一级）"/>
    <w:autoRedefine/>
    <w:qFormat/>
    <w:uiPriority w:val="0"/>
    <w:pPr>
      <w:ind w:left="840" w:leftChars="200" w:hanging="420" w:hangingChars="200"/>
      <w:jc w:val="both"/>
    </w:pPr>
    <w:rPr>
      <w:rFonts w:ascii="宋体" w:hAnsi="Times New Roman" w:eastAsia="宋体" w:cs="Times New Roman"/>
      <w:kern w:val="2"/>
      <w:sz w:val="21"/>
      <w:lang w:val="en-US" w:eastAsia="zh-CN" w:bidi="ar-SA"/>
    </w:rPr>
  </w:style>
  <w:style w:type="paragraph" w:customStyle="1" w:styleId="147">
    <w:name w:val="封面一致性程度标识"/>
    <w:autoRedefine/>
    <w:qFormat/>
    <w:uiPriority w:val="0"/>
    <w:pPr>
      <w:spacing w:before="440" w:line="400" w:lineRule="exact"/>
      <w:jc w:val="center"/>
    </w:pPr>
    <w:rPr>
      <w:rFonts w:ascii="宋体" w:hAnsi="Times New Roman" w:eastAsia="宋体" w:cs="Times New Roman"/>
      <w:kern w:val="2"/>
      <w:sz w:val="28"/>
      <w:lang w:val="en-US" w:eastAsia="zh-CN" w:bidi="ar-SA"/>
    </w:rPr>
  </w:style>
  <w:style w:type="paragraph" w:customStyle="1" w:styleId="148">
    <w:name w:val="正文表标题"/>
    <w:next w:val="118"/>
    <w:autoRedefine/>
    <w:qFormat/>
    <w:uiPriority w:val="0"/>
    <w:pPr>
      <w:jc w:val="center"/>
    </w:pPr>
    <w:rPr>
      <w:rFonts w:ascii="黑体" w:hAnsi="Times New Roman" w:eastAsia="黑体" w:cs="Times New Roman"/>
      <w:kern w:val="2"/>
      <w:sz w:val="21"/>
      <w:lang w:val="en-US" w:eastAsia="zh-CN" w:bidi="ar-SA"/>
    </w:rPr>
  </w:style>
  <w:style w:type="paragraph" w:customStyle="1" w:styleId="149">
    <w:name w:val="p0"/>
    <w:basedOn w:val="1"/>
    <w:autoRedefine/>
    <w:qFormat/>
    <w:uiPriority w:val="0"/>
    <w:pPr>
      <w:widowControl/>
    </w:pPr>
    <w:rPr>
      <w:kern w:val="0"/>
    </w:rPr>
  </w:style>
  <w:style w:type="paragraph" w:customStyle="1" w:styleId="150">
    <w:name w:val="五级无标题条"/>
    <w:basedOn w:val="1"/>
    <w:autoRedefine/>
    <w:qFormat/>
    <w:uiPriority w:val="0"/>
    <w:pPr>
      <w:tabs>
        <w:tab w:val="left" w:pos="1296"/>
      </w:tabs>
      <w:ind w:left="1296" w:hanging="1296"/>
    </w:pPr>
  </w:style>
  <w:style w:type="paragraph" w:customStyle="1" w:styleId="151">
    <w:name w:val="文献分类号"/>
    <w:autoRedefine/>
    <w:qFormat/>
    <w:uiPriority w:val="0"/>
    <w:pPr>
      <w:widowControl w:val="0"/>
      <w:textAlignment w:val="center"/>
    </w:pPr>
    <w:rPr>
      <w:rFonts w:ascii="Times New Roman" w:hAnsi="Times New Roman" w:eastAsia="黑体" w:cs="Times New Roman"/>
      <w:kern w:val="2"/>
      <w:sz w:val="21"/>
      <w:lang w:val="en-US" w:eastAsia="zh-CN" w:bidi="ar-SA"/>
    </w:rPr>
  </w:style>
  <w:style w:type="paragraph" w:customStyle="1" w:styleId="152">
    <w:name w:val="图表脚注"/>
    <w:next w:val="118"/>
    <w:autoRedefine/>
    <w:qFormat/>
    <w:uiPriority w:val="0"/>
    <w:pPr>
      <w:ind w:left="300" w:leftChars="200" w:hanging="100" w:hangingChars="100"/>
      <w:jc w:val="both"/>
    </w:pPr>
    <w:rPr>
      <w:rFonts w:ascii="宋体" w:hAnsi="Times New Roman" w:eastAsia="宋体" w:cs="Times New Roman"/>
      <w:kern w:val="2"/>
      <w:sz w:val="18"/>
      <w:lang w:val="en-US" w:eastAsia="zh-CN" w:bidi="ar-SA"/>
    </w:rPr>
  </w:style>
  <w:style w:type="paragraph" w:customStyle="1" w:styleId="153">
    <w:name w:val="Char2"/>
    <w:basedOn w:val="1"/>
    <w:autoRedefine/>
    <w:qFormat/>
    <w:uiPriority w:val="0"/>
  </w:style>
  <w:style w:type="paragraph" w:customStyle="1" w:styleId="154">
    <w:name w:val="二级无标题条"/>
    <w:basedOn w:val="1"/>
    <w:autoRedefine/>
    <w:qFormat/>
    <w:uiPriority w:val="0"/>
    <w:pPr>
      <w:tabs>
        <w:tab w:val="left" w:pos="864"/>
      </w:tabs>
      <w:ind w:left="864" w:hanging="864"/>
    </w:pPr>
  </w:style>
  <w:style w:type="paragraph" w:customStyle="1" w:styleId="155">
    <w:name w:val="发布部门"/>
    <w:next w:val="118"/>
    <w:autoRedefine/>
    <w:qFormat/>
    <w:uiPriority w:val="0"/>
    <w:pPr>
      <w:jc w:val="center"/>
    </w:pPr>
    <w:rPr>
      <w:rFonts w:ascii="宋体" w:hAnsi="Times New Roman" w:eastAsia="宋体" w:cs="Times New Roman"/>
      <w:b/>
      <w:spacing w:val="20"/>
      <w:w w:val="135"/>
      <w:kern w:val="2"/>
      <w:sz w:val="36"/>
      <w:lang w:val="en-US" w:eastAsia="zh-CN" w:bidi="ar-SA"/>
    </w:rPr>
  </w:style>
  <w:style w:type="paragraph" w:customStyle="1" w:styleId="156">
    <w:name w:val="xl79"/>
    <w:basedOn w:val="1"/>
    <w:autoRedefine/>
    <w:qFormat/>
    <w:uiPriority w:val="0"/>
    <w:pPr>
      <w:widowControl/>
      <w:pBdr>
        <w:left w:val="single" w:color="auto" w:sz="8" w:space="0"/>
      </w:pBdr>
      <w:spacing w:before="100" w:beforeAutospacing="1" w:after="100" w:afterAutospacing="1"/>
      <w:jc w:val="center"/>
    </w:pPr>
    <w:rPr>
      <w:rFonts w:ascii="宋体" w:hAnsi="宋体"/>
      <w:kern w:val="0"/>
    </w:rPr>
  </w:style>
  <w:style w:type="paragraph" w:customStyle="1" w:styleId="157">
    <w:name w:val="xl74"/>
    <w:basedOn w:val="1"/>
    <w:autoRedefine/>
    <w:qFormat/>
    <w:uiPriority w:val="0"/>
    <w:pPr>
      <w:widowControl/>
      <w:pBdr>
        <w:bottom w:val="single" w:color="auto" w:sz="8" w:space="0"/>
        <w:right w:val="single" w:color="auto" w:sz="8" w:space="0"/>
      </w:pBdr>
      <w:spacing w:before="100" w:beforeAutospacing="1" w:after="100" w:afterAutospacing="1"/>
      <w:jc w:val="center"/>
    </w:pPr>
    <w:rPr>
      <w:rFonts w:ascii="宋体" w:hAnsi="宋体"/>
      <w:kern w:val="0"/>
    </w:rPr>
  </w:style>
  <w:style w:type="paragraph" w:customStyle="1" w:styleId="158">
    <w:name w:val="Char Char Char Char Char Char Char Char Char Char Char Char"/>
    <w:basedOn w:val="1"/>
    <w:autoRedefine/>
    <w:qFormat/>
    <w:uiPriority w:val="0"/>
    <w:pPr>
      <w:spacing w:line="240" w:lineRule="atLeast"/>
      <w:ind w:left="420" w:firstLine="420"/>
    </w:pPr>
    <w:rPr>
      <w:kern w:val="0"/>
    </w:rPr>
  </w:style>
  <w:style w:type="paragraph" w:customStyle="1" w:styleId="159">
    <w:name w:val="xl76"/>
    <w:basedOn w:val="1"/>
    <w:autoRedefine/>
    <w:qFormat/>
    <w:uiPriority w:val="0"/>
    <w:pPr>
      <w:widowControl/>
      <w:pBdr>
        <w:left w:val="single" w:color="auto" w:sz="8" w:space="0"/>
        <w:bottom w:val="single" w:color="auto" w:sz="8" w:space="0"/>
      </w:pBdr>
      <w:spacing w:before="100" w:beforeAutospacing="1" w:after="100" w:afterAutospacing="1"/>
      <w:jc w:val="center"/>
    </w:pPr>
    <w:rPr>
      <w:rFonts w:ascii="宋体" w:hAnsi="宋体"/>
      <w:kern w:val="0"/>
    </w:rPr>
  </w:style>
  <w:style w:type="paragraph" w:customStyle="1" w:styleId="160">
    <w:name w:val="xl71"/>
    <w:basedOn w:val="1"/>
    <w:autoRedefine/>
    <w:qFormat/>
    <w:uiPriority w:val="0"/>
    <w:pPr>
      <w:widowControl/>
      <w:pBdr>
        <w:top w:val="single" w:color="auto" w:sz="8" w:space="0"/>
        <w:left w:val="single" w:color="auto" w:sz="8" w:space="0"/>
        <w:right w:val="single" w:color="auto" w:sz="8" w:space="0"/>
      </w:pBdr>
      <w:spacing w:before="100" w:beforeAutospacing="1" w:after="100" w:afterAutospacing="1"/>
      <w:jc w:val="center"/>
    </w:pPr>
    <w:rPr>
      <w:kern w:val="0"/>
    </w:rPr>
  </w:style>
  <w:style w:type="paragraph" w:customStyle="1" w:styleId="161">
    <w:name w:val="缩进"/>
    <w:basedOn w:val="1"/>
    <w:autoRedefine/>
    <w:qFormat/>
    <w:uiPriority w:val="0"/>
    <w:pPr>
      <w:spacing w:line="640" w:lineRule="atLeast"/>
      <w:ind w:firstLine="200" w:firstLineChars="200"/>
    </w:pPr>
    <w:rPr>
      <w:rFonts w:hint="eastAsia" w:ascii="宋体"/>
      <w:kern w:val="0"/>
      <w:sz w:val="32"/>
    </w:rPr>
  </w:style>
  <w:style w:type="paragraph" w:customStyle="1" w:styleId="162">
    <w:name w:val="附录五级条标题"/>
    <w:basedOn w:val="163"/>
    <w:next w:val="118"/>
    <w:autoRedefine/>
    <w:qFormat/>
    <w:uiPriority w:val="0"/>
    <w:pPr>
      <w:tabs>
        <w:tab w:val="left" w:pos="1820"/>
        <w:tab w:val="left" w:pos="2240"/>
        <w:tab w:val="left" w:pos="2660"/>
        <w:tab w:val="left" w:pos="3080"/>
      </w:tabs>
      <w:outlineLvl w:val="6"/>
    </w:pPr>
  </w:style>
  <w:style w:type="paragraph" w:customStyle="1" w:styleId="163">
    <w:name w:val="附录四级条标题"/>
    <w:basedOn w:val="164"/>
    <w:next w:val="118"/>
    <w:autoRedefine/>
    <w:qFormat/>
    <w:uiPriority w:val="0"/>
    <w:pPr>
      <w:tabs>
        <w:tab w:val="left" w:pos="1820"/>
        <w:tab w:val="left" w:pos="2240"/>
        <w:tab w:val="left" w:pos="2660"/>
        <w:tab w:val="left" w:pos="3080"/>
      </w:tabs>
      <w:ind w:left="3080"/>
      <w:outlineLvl w:val="5"/>
    </w:pPr>
  </w:style>
  <w:style w:type="paragraph" w:customStyle="1" w:styleId="164">
    <w:name w:val="附录三级条标题"/>
    <w:basedOn w:val="165"/>
    <w:next w:val="118"/>
    <w:autoRedefine/>
    <w:qFormat/>
    <w:uiPriority w:val="0"/>
    <w:pPr>
      <w:tabs>
        <w:tab w:val="left" w:pos="1820"/>
        <w:tab w:val="left" w:pos="2240"/>
        <w:tab w:val="left" w:pos="2660"/>
      </w:tabs>
      <w:ind w:left="2660"/>
      <w:outlineLvl w:val="4"/>
    </w:pPr>
  </w:style>
  <w:style w:type="paragraph" w:customStyle="1" w:styleId="165">
    <w:name w:val="附录二级条标题"/>
    <w:basedOn w:val="166"/>
    <w:next w:val="118"/>
    <w:autoRedefine/>
    <w:qFormat/>
    <w:uiPriority w:val="0"/>
    <w:pPr>
      <w:tabs>
        <w:tab w:val="left" w:pos="1820"/>
        <w:tab w:val="left" w:pos="2240"/>
      </w:tabs>
      <w:ind w:left="2240"/>
      <w:outlineLvl w:val="3"/>
    </w:pPr>
  </w:style>
  <w:style w:type="paragraph" w:customStyle="1" w:styleId="166">
    <w:name w:val="附录一级条标题"/>
    <w:basedOn w:val="167"/>
    <w:next w:val="118"/>
    <w:autoRedefine/>
    <w:qFormat/>
    <w:uiPriority w:val="0"/>
    <w:pPr>
      <w:tabs>
        <w:tab w:val="left" w:pos="1820"/>
      </w:tabs>
      <w:autoSpaceDN w:val="0"/>
      <w:ind w:left="1820" w:hanging="420"/>
      <w:outlineLvl w:val="2"/>
    </w:pPr>
  </w:style>
  <w:style w:type="paragraph" w:customStyle="1" w:styleId="167">
    <w:name w:val="附录章标题"/>
    <w:next w:val="118"/>
    <w:autoRedefine/>
    <w:qFormat/>
    <w:uiPriority w:val="0"/>
    <w:pPr>
      <w:wordWrap w:val="0"/>
      <w:overflowPunct w:val="0"/>
      <w:autoSpaceDE w:val="0"/>
      <w:spacing w:beforeLines="50" w:afterLines="50"/>
      <w:jc w:val="center"/>
      <w:textAlignment w:val="baseline"/>
      <w:outlineLvl w:val="1"/>
    </w:pPr>
    <w:rPr>
      <w:rFonts w:ascii="黑体" w:hAnsi="Times New Roman" w:eastAsia="黑体" w:cs="Times New Roman"/>
      <w:kern w:val="21"/>
      <w:sz w:val="21"/>
      <w:lang w:val="en-US" w:eastAsia="zh-CN" w:bidi="ar-SA"/>
    </w:rPr>
  </w:style>
  <w:style w:type="paragraph" w:customStyle="1" w:styleId="168">
    <w:name w:val="样式 标题 1h11st levelSection Headl1章标题 1featurehead标题 1，宋体，三..."/>
    <w:basedOn w:val="3"/>
    <w:autoRedefine/>
    <w:qFormat/>
    <w:uiPriority w:val="0"/>
    <w:pPr>
      <w:numPr>
        <w:ilvl w:val="0"/>
        <w:numId w:val="0"/>
      </w:numPr>
      <w:spacing w:before="300"/>
      <w:ind w:left="567" w:hanging="567"/>
    </w:pPr>
    <w:rPr>
      <w:rFonts w:ascii="STXihei" w:hAnsi="STXihei" w:eastAsia="STXihei"/>
    </w:rPr>
  </w:style>
  <w:style w:type="paragraph" w:customStyle="1" w:styleId="169">
    <w:name w:val="其他发布部门"/>
    <w:basedOn w:val="1"/>
    <w:autoRedefine/>
    <w:qFormat/>
    <w:uiPriority w:val="0"/>
    <w:pPr>
      <w:widowControl/>
      <w:spacing w:line="0" w:lineRule="atLeast"/>
      <w:jc w:val="center"/>
    </w:pPr>
    <w:rPr>
      <w:rFonts w:ascii="黑体" w:eastAsia="黑体"/>
      <w:spacing w:val="20"/>
      <w:w w:val="135"/>
      <w:kern w:val="0"/>
      <w:sz w:val="36"/>
    </w:rPr>
  </w:style>
  <w:style w:type="paragraph" w:customStyle="1" w:styleId="170">
    <w:name w:val="正文首行缩进 21"/>
    <w:basedOn w:val="1"/>
    <w:autoRedefine/>
    <w:qFormat/>
    <w:uiPriority w:val="0"/>
    <w:pPr>
      <w:spacing w:line="440" w:lineRule="exact"/>
      <w:ind w:firstLine="510"/>
    </w:pPr>
  </w:style>
  <w:style w:type="paragraph" w:customStyle="1" w:styleId="171">
    <w:name w:val="Char"/>
    <w:basedOn w:val="1"/>
    <w:autoRedefine/>
    <w:qFormat/>
    <w:uiPriority w:val="0"/>
    <w:pPr>
      <w:spacing w:line="240" w:lineRule="atLeast"/>
      <w:ind w:left="420" w:firstLine="420"/>
    </w:pPr>
    <w:rPr>
      <w:kern w:val="0"/>
    </w:rPr>
  </w:style>
  <w:style w:type="paragraph" w:customStyle="1" w:styleId="172">
    <w:name w:val="示例"/>
    <w:next w:val="118"/>
    <w:autoRedefine/>
    <w:qFormat/>
    <w:uiPriority w:val="0"/>
    <w:pPr>
      <w:tabs>
        <w:tab w:val="left" w:pos="1120"/>
      </w:tabs>
      <w:ind w:firstLine="400"/>
      <w:jc w:val="both"/>
    </w:pPr>
    <w:rPr>
      <w:rFonts w:ascii="宋体" w:hAnsi="Times New Roman" w:eastAsia="宋体" w:cs="Times New Roman"/>
      <w:kern w:val="2"/>
      <w:sz w:val="18"/>
      <w:lang w:val="en-US" w:eastAsia="zh-CN" w:bidi="ar-SA"/>
    </w:rPr>
  </w:style>
  <w:style w:type="paragraph" w:customStyle="1" w:styleId="173">
    <w:name w:val="Char Char Char Char Char Char Char Char Char Char Char Char2"/>
    <w:basedOn w:val="1"/>
    <w:autoRedefine/>
    <w:qFormat/>
    <w:uiPriority w:val="0"/>
    <w:pPr>
      <w:spacing w:line="240" w:lineRule="atLeast"/>
      <w:ind w:left="420" w:firstLine="420"/>
    </w:pPr>
    <w:rPr>
      <w:kern w:val="0"/>
    </w:rPr>
  </w:style>
  <w:style w:type="paragraph" w:customStyle="1" w:styleId="174">
    <w:name w:val="Char Char Char3 Char Char Char Char"/>
    <w:basedOn w:val="1"/>
    <w:autoRedefine/>
    <w:qFormat/>
    <w:uiPriority w:val="0"/>
    <w:pPr>
      <w:spacing w:line="360" w:lineRule="auto"/>
    </w:pPr>
    <w:rPr>
      <w:sz w:val="24"/>
    </w:rPr>
  </w:style>
  <w:style w:type="paragraph" w:customStyle="1" w:styleId="175">
    <w:name w:val="Char1"/>
    <w:basedOn w:val="1"/>
    <w:autoRedefine/>
    <w:qFormat/>
    <w:uiPriority w:val="0"/>
  </w:style>
  <w:style w:type="paragraph" w:customStyle="1" w:styleId="176">
    <w:name w:val="列项·"/>
    <w:autoRedefine/>
    <w:qFormat/>
    <w:uiPriority w:val="0"/>
    <w:pPr>
      <w:tabs>
        <w:tab w:val="left" w:pos="840"/>
        <w:tab w:val="left" w:pos="1140"/>
      </w:tabs>
      <w:jc w:val="both"/>
    </w:pPr>
    <w:rPr>
      <w:rFonts w:ascii="宋体" w:hAnsi="Times New Roman" w:eastAsia="宋体" w:cs="Times New Roman"/>
      <w:kern w:val="2"/>
      <w:sz w:val="21"/>
      <w:lang w:val="en-US" w:eastAsia="zh-CN" w:bidi="ar-SA"/>
    </w:rPr>
  </w:style>
  <w:style w:type="paragraph" w:customStyle="1" w:styleId="177">
    <w:name w:val="xl85"/>
    <w:basedOn w:val="1"/>
    <w:autoRedefine/>
    <w:qFormat/>
    <w:uiPriority w:val="0"/>
    <w:pPr>
      <w:widowControl/>
      <w:pBdr>
        <w:top w:val="single" w:color="auto" w:sz="8" w:space="0"/>
      </w:pBdr>
      <w:spacing w:before="100" w:beforeAutospacing="1" w:after="100" w:afterAutospacing="1"/>
      <w:jc w:val="center"/>
    </w:pPr>
    <w:rPr>
      <w:rFonts w:ascii="宋体" w:hAnsi="宋体"/>
      <w:kern w:val="0"/>
    </w:rPr>
  </w:style>
  <w:style w:type="paragraph" w:customStyle="1" w:styleId="178">
    <w:name w:val="标准书眉_奇数页"/>
    <w:next w:val="1"/>
    <w:autoRedefine/>
    <w:qFormat/>
    <w:uiPriority w:val="0"/>
    <w:pPr>
      <w:tabs>
        <w:tab w:val="center" w:pos="4154"/>
        <w:tab w:val="right" w:pos="8306"/>
      </w:tabs>
      <w:spacing w:after="120"/>
      <w:jc w:val="right"/>
    </w:pPr>
    <w:rPr>
      <w:rFonts w:ascii="Times New Roman" w:hAnsi="Times New Roman" w:eastAsia="宋体" w:cs="Times New Roman"/>
      <w:kern w:val="2"/>
      <w:sz w:val="21"/>
      <w:lang w:val="en-US" w:eastAsia="zh-CN" w:bidi="ar-SA"/>
    </w:rPr>
  </w:style>
  <w:style w:type="paragraph" w:customStyle="1" w:styleId="179">
    <w:name w:val="font6"/>
    <w:basedOn w:val="1"/>
    <w:autoRedefine/>
    <w:qFormat/>
    <w:uiPriority w:val="0"/>
    <w:pPr>
      <w:widowControl/>
      <w:spacing w:before="100" w:beforeAutospacing="1" w:after="100" w:afterAutospacing="1"/>
      <w:jc w:val="left"/>
    </w:pPr>
    <w:rPr>
      <w:rFonts w:ascii="宋体" w:hAnsi="宋体"/>
      <w:color w:val="000000"/>
      <w:kern w:val="0"/>
    </w:rPr>
  </w:style>
  <w:style w:type="paragraph" w:customStyle="1" w:styleId="180">
    <w:name w:val="附录表标题"/>
    <w:next w:val="118"/>
    <w:autoRedefine/>
    <w:qFormat/>
    <w:uiPriority w:val="0"/>
    <w:pPr>
      <w:jc w:val="center"/>
      <w:textAlignment w:val="baseline"/>
    </w:pPr>
    <w:rPr>
      <w:rFonts w:ascii="黑体" w:hAnsi="Times New Roman" w:eastAsia="黑体" w:cs="Times New Roman"/>
      <w:kern w:val="21"/>
      <w:sz w:val="21"/>
      <w:lang w:val="en-US" w:eastAsia="zh-CN" w:bidi="ar-SA"/>
    </w:rPr>
  </w:style>
  <w:style w:type="paragraph" w:customStyle="1" w:styleId="181">
    <w:name w:val="xl82"/>
    <w:basedOn w:val="1"/>
    <w:autoRedefine/>
    <w:qFormat/>
    <w:uiPriority w:val="0"/>
    <w:pPr>
      <w:widowControl/>
      <w:pBdr>
        <w:bottom w:val="single" w:color="auto" w:sz="8" w:space="0"/>
      </w:pBdr>
      <w:spacing w:before="100" w:beforeAutospacing="1" w:after="100" w:afterAutospacing="1"/>
      <w:jc w:val="center"/>
    </w:pPr>
    <w:rPr>
      <w:rFonts w:ascii="宋体" w:hAnsi="宋体"/>
      <w:kern w:val="0"/>
    </w:rPr>
  </w:style>
  <w:style w:type="paragraph" w:customStyle="1" w:styleId="182">
    <w:name w:val="标准书脚_奇数页"/>
    <w:autoRedefine/>
    <w:qFormat/>
    <w:uiPriority w:val="0"/>
    <w:pPr>
      <w:spacing w:before="120"/>
      <w:jc w:val="right"/>
    </w:pPr>
    <w:rPr>
      <w:rFonts w:ascii="Times New Roman" w:hAnsi="Times New Roman" w:eastAsia="宋体" w:cs="Times New Roman"/>
      <w:kern w:val="2"/>
      <w:sz w:val="18"/>
      <w:lang w:val="en-US" w:eastAsia="zh-CN" w:bidi="ar-SA"/>
    </w:rPr>
  </w:style>
  <w:style w:type="paragraph" w:customStyle="1" w:styleId="183">
    <w:name w:val="封面正文"/>
    <w:autoRedefine/>
    <w:qFormat/>
    <w:uiPriority w:val="0"/>
    <w:pPr>
      <w:jc w:val="both"/>
    </w:pPr>
    <w:rPr>
      <w:rFonts w:ascii="Times New Roman" w:hAnsi="Times New Roman" w:eastAsia="宋体" w:cs="Times New Roman"/>
      <w:kern w:val="2"/>
      <w:sz w:val="21"/>
      <w:lang w:val="en-US" w:eastAsia="zh-CN" w:bidi="ar-SA"/>
    </w:rPr>
  </w:style>
  <w:style w:type="paragraph" w:customStyle="1" w:styleId="184">
    <w:name w:val="封面标准名称"/>
    <w:autoRedefine/>
    <w:qFormat/>
    <w:uiPriority w:val="0"/>
    <w:pPr>
      <w:widowControl w:val="0"/>
      <w:spacing w:line="680" w:lineRule="exact"/>
      <w:jc w:val="center"/>
      <w:textAlignment w:val="center"/>
    </w:pPr>
    <w:rPr>
      <w:rFonts w:ascii="黑体" w:hAnsi="Times New Roman" w:eastAsia="黑体" w:cs="Times New Roman"/>
      <w:kern w:val="2"/>
      <w:sz w:val="52"/>
      <w:lang w:val="en-US" w:eastAsia="zh-CN" w:bidi="ar-SA"/>
    </w:rPr>
  </w:style>
  <w:style w:type="paragraph" w:customStyle="1" w:styleId="185">
    <w:name w:val="封面标准文稿编辑信息"/>
    <w:autoRedefine/>
    <w:qFormat/>
    <w:uiPriority w:val="0"/>
    <w:pPr>
      <w:spacing w:before="180" w:line="180" w:lineRule="exact"/>
      <w:jc w:val="center"/>
    </w:pPr>
    <w:rPr>
      <w:rFonts w:ascii="宋体" w:hAnsi="Times New Roman" w:eastAsia="宋体" w:cs="Times New Roman"/>
      <w:kern w:val="2"/>
      <w:sz w:val="21"/>
      <w:lang w:val="en-US" w:eastAsia="zh-CN" w:bidi="ar-SA"/>
    </w:rPr>
  </w:style>
  <w:style w:type="paragraph" w:customStyle="1" w:styleId="186">
    <w:name w:val="实施日期"/>
    <w:basedOn w:val="143"/>
    <w:autoRedefine/>
    <w:qFormat/>
    <w:uiPriority w:val="0"/>
    <w:pPr>
      <w:jc w:val="right"/>
    </w:pPr>
  </w:style>
  <w:style w:type="paragraph" w:customStyle="1" w:styleId="187">
    <w:name w:val="xl80"/>
    <w:basedOn w:val="1"/>
    <w:autoRedefine/>
    <w:qFormat/>
    <w:uiPriority w:val="0"/>
    <w:pPr>
      <w:widowControl/>
      <w:pBdr>
        <w:right w:val="single" w:color="auto" w:sz="8" w:space="0"/>
      </w:pBdr>
      <w:spacing w:before="100" w:beforeAutospacing="1" w:after="100" w:afterAutospacing="1"/>
      <w:jc w:val="center"/>
    </w:pPr>
    <w:rPr>
      <w:rFonts w:ascii="宋体" w:hAnsi="宋体"/>
      <w:kern w:val="0"/>
    </w:rPr>
  </w:style>
  <w:style w:type="paragraph" w:customStyle="1" w:styleId="188">
    <w:name w:val="xl77"/>
    <w:basedOn w:val="1"/>
    <w:autoRedefine/>
    <w:qFormat/>
    <w:uiPriority w:val="0"/>
    <w:pPr>
      <w:widowControl/>
      <w:pBdr>
        <w:top w:val="single" w:color="auto" w:sz="8" w:space="0"/>
        <w:left w:val="single" w:color="auto" w:sz="8" w:space="0"/>
        <w:right w:val="single" w:color="auto" w:sz="8" w:space="0"/>
      </w:pBdr>
      <w:spacing w:before="100" w:beforeAutospacing="1" w:after="100" w:afterAutospacing="1"/>
      <w:jc w:val="center"/>
    </w:pPr>
    <w:rPr>
      <w:rFonts w:ascii="宋体" w:hAnsi="宋体"/>
      <w:kern w:val="0"/>
    </w:rPr>
  </w:style>
  <w:style w:type="paragraph" w:customStyle="1" w:styleId="189">
    <w:name w:val="xl72"/>
    <w:basedOn w:val="1"/>
    <w:autoRedefine/>
    <w:qFormat/>
    <w:uiPriority w:val="0"/>
    <w:pPr>
      <w:widowControl/>
      <w:pBdr>
        <w:left w:val="single" w:color="auto" w:sz="8" w:space="0"/>
        <w:bottom w:val="single" w:color="auto" w:sz="8" w:space="0"/>
        <w:right w:val="single" w:color="auto" w:sz="8" w:space="0"/>
      </w:pBdr>
      <w:spacing w:before="100" w:beforeAutospacing="1" w:after="100" w:afterAutospacing="1"/>
      <w:jc w:val="center"/>
    </w:pPr>
    <w:rPr>
      <w:kern w:val="0"/>
    </w:rPr>
  </w:style>
  <w:style w:type="paragraph" w:customStyle="1" w:styleId="190">
    <w:name w:val="Char Char Char3 Char Char Char Char2"/>
    <w:basedOn w:val="1"/>
    <w:autoRedefine/>
    <w:qFormat/>
    <w:uiPriority w:val="0"/>
    <w:pPr>
      <w:spacing w:line="360" w:lineRule="auto"/>
    </w:pPr>
    <w:rPr>
      <w:sz w:val="24"/>
    </w:rPr>
  </w:style>
  <w:style w:type="paragraph" w:customStyle="1" w:styleId="191">
    <w:name w:val="封面标准文稿类别"/>
    <w:autoRedefine/>
    <w:qFormat/>
    <w:uiPriority w:val="0"/>
    <w:pPr>
      <w:spacing w:before="440" w:line="400" w:lineRule="exact"/>
      <w:jc w:val="center"/>
    </w:pPr>
    <w:rPr>
      <w:rFonts w:ascii="宋体" w:hAnsi="Times New Roman" w:eastAsia="宋体" w:cs="Times New Roman"/>
      <w:kern w:val="2"/>
      <w:sz w:val="24"/>
      <w:lang w:val="en-US" w:eastAsia="zh-CN" w:bidi="ar-SA"/>
    </w:rPr>
  </w:style>
  <w:style w:type="paragraph" w:customStyle="1" w:styleId="192">
    <w:name w:val="列项——"/>
    <w:autoRedefine/>
    <w:qFormat/>
    <w:uiPriority w:val="0"/>
    <w:pPr>
      <w:widowControl w:val="0"/>
      <w:tabs>
        <w:tab w:val="left" w:pos="1140"/>
      </w:tabs>
      <w:ind w:left="425" w:hanging="425"/>
      <w:jc w:val="both"/>
    </w:pPr>
    <w:rPr>
      <w:rFonts w:ascii="宋体" w:hAnsi="Times New Roman" w:eastAsia="宋体" w:cs="Times New Roman"/>
      <w:kern w:val="2"/>
      <w:sz w:val="21"/>
      <w:lang w:val="en-US" w:eastAsia="zh-CN" w:bidi="ar-SA"/>
    </w:rPr>
  </w:style>
  <w:style w:type="paragraph" w:customStyle="1" w:styleId="193">
    <w:name w:val="附录图标题"/>
    <w:next w:val="118"/>
    <w:autoRedefine/>
    <w:qFormat/>
    <w:uiPriority w:val="0"/>
    <w:pPr>
      <w:jc w:val="center"/>
    </w:pPr>
    <w:rPr>
      <w:rFonts w:ascii="黑体" w:hAnsi="Times New Roman" w:eastAsia="黑体" w:cs="Times New Roman"/>
      <w:kern w:val="2"/>
      <w:sz w:val="21"/>
      <w:lang w:val="en-US" w:eastAsia="zh-CN" w:bidi="ar-SA"/>
    </w:rPr>
  </w:style>
  <w:style w:type="paragraph" w:customStyle="1" w:styleId="194">
    <w:name w:val="数字编号列项（二级）"/>
    <w:autoRedefine/>
    <w:qFormat/>
    <w:uiPriority w:val="0"/>
    <w:pPr>
      <w:ind w:left="1260" w:leftChars="400" w:hanging="420" w:hangingChars="200"/>
      <w:jc w:val="both"/>
    </w:pPr>
    <w:rPr>
      <w:rFonts w:ascii="宋体" w:hAnsi="Times New Roman" w:eastAsia="宋体" w:cs="Times New Roman"/>
      <w:kern w:val="2"/>
      <w:sz w:val="21"/>
      <w:lang w:val="en-US" w:eastAsia="zh-CN" w:bidi="ar-SA"/>
    </w:rPr>
  </w:style>
  <w:style w:type="paragraph" w:customStyle="1" w:styleId="195">
    <w:name w:val="其他标准称谓"/>
    <w:autoRedefine/>
    <w:qFormat/>
    <w:uiPriority w:val="0"/>
    <w:pPr>
      <w:spacing w:line="0" w:lineRule="atLeast"/>
      <w:jc w:val="distribute"/>
    </w:pPr>
    <w:rPr>
      <w:rFonts w:ascii="黑体" w:hAnsi="宋体" w:eastAsia="黑体" w:cs="Times New Roman"/>
      <w:kern w:val="2"/>
      <w:sz w:val="52"/>
      <w:lang w:val="en-US" w:eastAsia="zh-CN" w:bidi="ar-SA"/>
    </w:rPr>
  </w:style>
  <w:style w:type="paragraph" w:customStyle="1" w:styleId="196">
    <w:name w:val="Char Char18"/>
    <w:basedOn w:val="1"/>
    <w:autoRedefine/>
    <w:qFormat/>
    <w:uiPriority w:val="0"/>
    <w:pPr>
      <w:spacing w:line="400" w:lineRule="exact"/>
    </w:pPr>
    <w:rPr>
      <w:rFonts w:ascii="Tahoma" w:hAnsi="Tahoma"/>
      <w:sz w:val="24"/>
    </w:rPr>
  </w:style>
  <w:style w:type="paragraph" w:customStyle="1" w:styleId="197">
    <w:name w:val="修订1"/>
    <w:autoRedefine/>
    <w:qFormat/>
    <w:uiPriority w:val="0"/>
    <w:rPr>
      <w:rFonts w:ascii="Times New Roman" w:hAnsi="Times New Roman" w:eastAsia="宋体" w:cs="Times New Roman"/>
      <w:kern w:val="2"/>
      <w:sz w:val="21"/>
      <w:lang w:val="en-US" w:eastAsia="zh-CN" w:bidi="ar-SA"/>
    </w:rPr>
  </w:style>
  <w:style w:type="paragraph" w:customStyle="1" w:styleId="198">
    <w:name w:val="正文图标题"/>
    <w:next w:val="118"/>
    <w:autoRedefine/>
    <w:qFormat/>
    <w:uiPriority w:val="0"/>
    <w:pPr>
      <w:jc w:val="center"/>
    </w:pPr>
    <w:rPr>
      <w:rFonts w:ascii="黑体" w:hAnsi="Times New Roman" w:eastAsia="黑体" w:cs="Times New Roman"/>
      <w:kern w:val="2"/>
      <w:sz w:val="21"/>
      <w:lang w:val="en-US" w:eastAsia="zh-CN" w:bidi="ar-SA"/>
    </w:rPr>
  </w:style>
  <w:style w:type="paragraph" w:customStyle="1" w:styleId="199">
    <w:name w:val="默认段落字体 Para Char"/>
    <w:basedOn w:val="1"/>
    <w:autoRedefine/>
    <w:qFormat/>
    <w:uiPriority w:val="0"/>
    <w:pPr>
      <w:spacing w:line="400" w:lineRule="exact"/>
    </w:pPr>
    <w:rPr>
      <w:rFonts w:ascii="Tahoma" w:hAnsi="Tahoma"/>
      <w:sz w:val="24"/>
    </w:rPr>
  </w:style>
  <w:style w:type="paragraph" w:customStyle="1" w:styleId="200">
    <w:name w:val="Char Char Char3 Char Char Char Char3"/>
    <w:basedOn w:val="1"/>
    <w:autoRedefine/>
    <w:qFormat/>
    <w:uiPriority w:val="0"/>
    <w:pPr>
      <w:spacing w:line="360" w:lineRule="auto"/>
    </w:pPr>
    <w:rPr>
      <w:sz w:val="24"/>
    </w:rPr>
  </w:style>
  <w:style w:type="paragraph" w:customStyle="1" w:styleId="201">
    <w:name w:val="样式 首行缩进:  2 字符"/>
    <w:basedOn w:val="1"/>
    <w:autoRedefine/>
    <w:qFormat/>
    <w:uiPriority w:val="0"/>
    <w:pPr>
      <w:spacing w:line="360" w:lineRule="auto"/>
      <w:ind w:firstLine="560" w:firstLineChars="200"/>
    </w:pPr>
  </w:style>
  <w:style w:type="paragraph" w:customStyle="1" w:styleId="202">
    <w:name w:val="标准书眉_偶数页"/>
    <w:basedOn w:val="178"/>
    <w:next w:val="1"/>
    <w:autoRedefine/>
    <w:qFormat/>
    <w:uiPriority w:val="0"/>
    <w:pPr>
      <w:jc w:val="left"/>
    </w:pPr>
  </w:style>
  <w:style w:type="paragraph" w:customStyle="1" w:styleId="203">
    <w:name w:val="普通(网站)1"/>
    <w:basedOn w:val="1"/>
    <w:autoRedefine/>
    <w:qFormat/>
    <w:uiPriority w:val="0"/>
    <w:pPr>
      <w:widowControl/>
      <w:spacing w:before="100" w:beforeAutospacing="1" w:after="100" w:afterAutospacing="1" w:line="411" w:lineRule="atLeast"/>
      <w:jc w:val="left"/>
    </w:pPr>
    <w:rPr>
      <w:rFonts w:ascii="宋体" w:hAnsi="宋体"/>
      <w:kern w:val="0"/>
      <w:sz w:val="22"/>
    </w:rPr>
  </w:style>
  <w:style w:type="paragraph" w:customStyle="1" w:styleId="204">
    <w:name w:val="Char Char Char Char1"/>
    <w:basedOn w:val="1"/>
    <w:autoRedefine/>
    <w:qFormat/>
    <w:uiPriority w:val="0"/>
    <w:rPr>
      <w:rFonts w:eastAsia="方正仿宋_GBK"/>
      <w:sz w:val="32"/>
    </w:rPr>
  </w:style>
  <w:style w:type="paragraph" w:customStyle="1" w:styleId="205">
    <w:name w:val="font7"/>
    <w:basedOn w:val="1"/>
    <w:autoRedefine/>
    <w:qFormat/>
    <w:uiPriority w:val="0"/>
    <w:pPr>
      <w:widowControl/>
      <w:spacing w:before="100" w:beforeAutospacing="1" w:after="100" w:afterAutospacing="1"/>
      <w:jc w:val="left"/>
    </w:pPr>
    <w:rPr>
      <w:rFonts w:ascii="宋体" w:hAnsi="宋体"/>
      <w:kern w:val="0"/>
      <w:sz w:val="18"/>
    </w:rPr>
  </w:style>
  <w:style w:type="paragraph" w:customStyle="1" w:styleId="206">
    <w:name w:val="标准书眉一"/>
    <w:autoRedefine/>
    <w:qFormat/>
    <w:uiPriority w:val="0"/>
    <w:pPr>
      <w:jc w:val="both"/>
    </w:pPr>
    <w:rPr>
      <w:rFonts w:ascii="Times New Roman" w:hAnsi="Times New Roman" w:eastAsia="宋体" w:cs="Times New Roman"/>
      <w:kern w:val="2"/>
      <w:sz w:val="21"/>
      <w:lang w:val="en-US" w:eastAsia="zh-CN" w:bidi="ar-SA"/>
    </w:rPr>
  </w:style>
  <w:style w:type="paragraph" w:customStyle="1" w:styleId="207">
    <w:name w:val="xl83"/>
    <w:basedOn w:val="1"/>
    <w:autoRedefine/>
    <w:qFormat/>
    <w:uiPriority w:val="0"/>
    <w:pPr>
      <w:widowControl/>
      <w:pBdr>
        <w:top w:val="single" w:color="auto" w:sz="8" w:space="0"/>
        <w:left w:val="single" w:color="auto" w:sz="8" w:space="0"/>
        <w:bottom w:val="single" w:color="auto" w:sz="8" w:space="0"/>
      </w:pBdr>
      <w:spacing w:before="100" w:beforeAutospacing="1" w:after="100" w:afterAutospacing="1"/>
      <w:jc w:val="center"/>
    </w:pPr>
    <w:rPr>
      <w:rFonts w:ascii="宋体" w:hAnsi="宋体"/>
      <w:kern w:val="0"/>
    </w:rPr>
  </w:style>
  <w:style w:type="paragraph" w:customStyle="1" w:styleId="208">
    <w:name w:val="一级无标题条"/>
    <w:basedOn w:val="1"/>
    <w:autoRedefine/>
    <w:qFormat/>
    <w:uiPriority w:val="0"/>
    <w:pPr>
      <w:tabs>
        <w:tab w:val="left" w:pos="0"/>
      </w:tabs>
    </w:pPr>
  </w:style>
  <w:style w:type="paragraph" w:customStyle="1" w:styleId="209">
    <w:name w:val="Default"/>
    <w:autoRedefine/>
    <w:qFormat/>
    <w:uiPriority w:val="0"/>
    <w:pPr>
      <w:widowControl w:val="0"/>
      <w:autoSpaceDE w:val="0"/>
      <w:autoSpaceDN w:val="0"/>
      <w:adjustRightInd w:val="0"/>
    </w:pPr>
    <w:rPr>
      <w:rFonts w:ascii="仿宋_GB2312" w:hAnsi="Times New Roman" w:eastAsia="仿宋_GB2312" w:cs="Times New Roman"/>
      <w:color w:val="000000"/>
      <w:sz w:val="24"/>
      <w:lang w:val="en-US" w:eastAsia="zh-CN" w:bidi="ar-SA"/>
    </w:rPr>
  </w:style>
  <w:style w:type="paragraph" w:customStyle="1" w:styleId="210">
    <w:name w:val="Char2 Char Char Char Char Char Char1"/>
    <w:basedOn w:val="1"/>
    <w:autoRedefine/>
    <w:qFormat/>
    <w:uiPriority w:val="0"/>
    <w:pPr>
      <w:spacing w:line="240" w:lineRule="atLeast"/>
      <w:ind w:left="420" w:firstLine="420"/>
    </w:pPr>
  </w:style>
  <w:style w:type="paragraph" w:customStyle="1" w:styleId="211">
    <w:name w:val="标准标志"/>
    <w:next w:val="1"/>
    <w:autoRedefine/>
    <w:qFormat/>
    <w:uiPriority w:val="0"/>
    <w:pPr>
      <w:shd w:val="solid" w:color="FFFFFF" w:fill="FFFFFF"/>
      <w:spacing w:line="0" w:lineRule="atLeast"/>
      <w:jc w:val="right"/>
    </w:pPr>
    <w:rPr>
      <w:rFonts w:ascii="Times New Roman" w:hAnsi="Times New Roman" w:eastAsia="宋体" w:cs="Times New Roman"/>
      <w:b/>
      <w:w w:val="130"/>
      <w:kern w:val="2"/>
      <w:sz w:val="96"/>
      <w:lang w:val="en-US" w:eastAsia="zh-CN" w:bidi="ar-SA"/>
    </w:rPr>
  </w:style>
  <w:style w:type="paragraph" w:customStyle="1" w:styleId="212">
    <w:name w:val="标准称谓"/>
    <w:next w:val="1"/>
    <w:autoRedefine/>
    <w:qFormat/>
    <w:uiPriority w:val="0"/>
    <w:pPr>
      <w:widowControl w:val="0"/>
      <w:kinsoku w:val="0"/>
      <w:overflowPunct w:val="0"/>
      <w:autoSpaceDE w:val="0"/>
      <w:autoSpaceDN w:val="0"/>
      <w:spacing w:line="0" w:lineRule="atLeast"/>
      <w:jc w:val="distribute"/>
    </w:pPr>
    <w:rPr>
      <w:rFonts w:ascii="宋体" w:hAnsi="Times New Roman" w:eastAsia="宋体" w:cs="Times New Roman"/>
      <w:b/>
      <w:spacing w:val="20"/>
      <w:w w:val="148"/>
      <w:kern w:val="2"/>
      <w:sz w:val="52"/>
      <w:lang w:val="en-US" w:eastAsia="zh-CN" w:bidi="ar-SA"/>
    </w:rPr>
  </w:style>
  <w:style w:type="paragraph" w:customStyle="1" w:styleId="213">
    <w:name w:val="标题11"/>
    <w:autoRedefine/>
    <w:qFormat/>
    <w:uiPriority w:val="0"/>
    <w:pPr>
      <w:spacing w:before="240" w:after="240" w:line="360" w:lineRule="auto"/>
      <w:ind w:left="425" w:hanging="425"/>
      <w:outlineLvl w:val="0"/>
    </w:pPr>
    <w:rPr>
      <w:rFonts w:ascii="黑体" w:hAnsi="Times New Roman" w:eastAsia="黑体" w:cs="Times New Roman"/>
      <w:kern w:val="44"/>
      <w:sz w:val="30"/>
      <w:lang w:val="en-US" w:eastAsia="zh-CN" w:bidi="ar-SA"/>
    </w:rPr>
  </w:style>
  <w:style w:type="paragraph" w:customStyle="1" w:styleId="214">
    <w:name w:val="四级无标题条"/>
    <w:basedOn w:val="1"/>
    <w:autoRedefine/>
    <w:qFormat/>
    <w:uiPriority w:val="0"/>
    <w:pPr>
      <w:tabs>
        <w:tab w:val="left" w:pos="1152"/>
      </w:tabs>
      <w:ind w:left="1152" w:hanging="1152"/>
    </w:pPr>
  </w:style>
  <w:style w:type="paragraph" w:customStyle="1" w:styleId="215">
    <w:name w:val="四级条标题"/>
    <w:basedOn w:val="134"/>
    <w:next w:val="1"/>
    <w:autoRedefine/>
    <w:qFormat/>
    <w:uiPriority w:val="0"/>
    <w:pPr>
      <w:ind w:left="425" w:hanging="425"/>
      <w:outlineLvl w:val="5"/>
    </w:pPr>
  </w:style>
  <w:style w:type="paragraph" w:customStyle="1" w:styleId="216">
    <w:name w:val="font0"/>
    <w:basedOn w:val="1"/>
    <w:autoRedefine/>
    <w:qFormat/>
    <w:uiPriority w:val="0"/>
    <w:pPr>
      <w:widowControl/>
      <w:spacing w:before="100" w:beforeAutospacing="1" w:after="100" w:afterAutospacing="1"/>
      <w:jc w:val="left"/>
    </w:pPr>
    <w:rPr>
      <w:rFonts w:hint="eastAsia" w:ascii="宋体" w:hAnsi="宋体"/>
      <w:kern w:val="0"/>
      <w:sz w:val="24"/>
    </w:rPr>
  </w:style>
  <w:style w:type="paragraph" w:customStyle="1" w:styleId="217">
    <w:name w:val="表格内容"/>
    <w:basedOn w:val="1"/>
    <w:autoRedefine/>
    <w:qFormat/>
    <w:uiPriority w:val="0"/>
    <w:pPr>
      <w:jc w:val="center"/>
    </w:pPr>
    <w:rPr>
      <w:sz w:val="24"/>
    </w:rPr>
  </w:style>
  <w:style w:type="paragraph" w:customStyle="1" w:styleId="218">
    <w:name w:val="_Style 97"/>
    <w:basedOn w:val="1"/>
    <w:autoRedefine/>
    <w:qFormat/>
    <w:uiPriority w:val="0"/>
  </w:style>
  <w:style w:type="paragraph" w:customStyle="1" w:styleId="219">
    <w:name w:val="TOC 标题1"/>
    <w:basedOn w:val="2"/>
    <w:next w:val="1"/>
    <w:autoRedefine/>
    <w:qFormat/>
    <w:uiPriority w:val="0"/>
    <w:pPr>
      <w:widowControl/>
      <w:numPr>
        <w:numId w:val="0"/>
      </w:numPr>
      <w:spacing w:before="480" w:after="0" w:line="276" w:lineRule="auto"/>
      <w:jc w:val="left"/>
      <w:outlineLvl w:val="9"/>
    </w:pPr>
    <w:rPr>
      <w:rFonts w:ascii="Cambria" w:hAnsi="Cambria"/>
      <w:color w:val="376092"/>
      <w:kern w:val="0"/>
      <w:sz w:val="28"/>
    </w:rPr>
  </w:style>
  <w:style w:type="paragraph" w:customStyle="1" w:styleId="220">
    <w:name w:val="xl81"/>
    <w:basedOn w:val="1"/>
    <w:autoRedefine/>
    <w:qFormat/>
    <w:uiPriority w:val="0"/>
    <w:pPr>
      <w:widowControl/>
      <w:pBdr>
        <w:left w:val="single" w:color="auto" w:sz="8" w:space="0"/>
        <w:right w:val="single" w:color="auto" w:sz="8" w:space="0"/>
      </w:pBdr>
      <w:spacing w:before="100" w:beforeAutospacing="1" w:after="100" w:afterAutospacing="1"/>
      <w:jc w:val="center"/>
    </w:pPr>
    <w:rPr>
      <w:rFonts w:ascii="宋体" w:hAnsi="宋体"/>
      <w:kern w:val="0"/>
    </w:rPr>
  </w:style>
  <w:style w:type="paragraph" w:customStyle="1" w:styleId="221">
    <w:name w:val="xl43"/>
    <w:basedOn w:val="1"/>
    <w:autoRedefine/>
    <w:qFormat/>
    <w:uiPriority w:val="0"/>
    <w:pPr>
      <w:widowControl/>
      <w:spacing w:before="100" w:beforeAutospacing="1" w:after="100" w:afterAutospacing="1"/>
      <w:jc w:val="center"/>
    </w:pPr>
    <w:rPr>
      <w:rFonts w:ascii="宋体" w:hAnsi="宋体"/>
      <w:kern w:val="0"/>
      <w:sz w:val="24"/>
    </w:rPr>
  </w:style>
  <w:style w:type="paragraph" w:customStyle="1" w:styleId="222">
    <w:name w:val="目次、索引正文"/>
    <w:autoRedefine/>
    <w:qFormat/>
    <w:uiPriority w:val="0"/>
    <w:pPr>
      <w:spacing w:line="320" w:lineRule="exact"/>
      <w:jc w:val="both"/>
    </w:pPr>
    <w:rPr>
      <w:rFonts w:ascii="宋体" w:hAnsi="Times New Roman" w:eastAsia="宋体" w:cs="Times New Roman"/>
      <w:kern w:val="2"/>
      <w:sz w:val="21"/>
      <w:lang w:val="en-US" w:eastAsia="zh-CN" w:bidi="ar-SA"/>
    </w:rPr>
  </w:style>
  <w:style w:type="paragraph" w:customStyle="1" w:styleId="223">
    <w:name w:val="目次、标准名称标题"/>
    <w:basedOn w:val="124"/>
    <w:next w:val="118"/>
    <w:autoRedefine/>
    <w:qFormat/>
    <w:uiPriority w:val="0"/>
    <w:pPr>
      <w:spacing w:line="460" w:lineRule="exact"/>
    </w:pPr>
  </w:style>
  <w:style w:type="paragraph" w:customStyle="1" w:styleId="224">
    <w:name w:val="xl78"/>
    <w:basedOn w:val="1"/>
    <w:autoRedefine/>
    <w:qFormat/>
    <w:uiPriority w:val="0"/>
    <w:pPr>
      <w:widowControl/>
      <w:pBdr>
        <w:left w:val="single" w:color="auto" w:sz="8" w:space="0"/>
        <w:bottom w:val="single" w:color="auto" w:sz="8" w:space="0"/>
        <w:right w:val="single" w:color="auto" w:sz="8" w:space="0"/>
      </w:pBdr>
      <w:spacing w:before="100" w:beforeAutospacing="1" w:after="100" w:afterAutospacing="1"/>
      <w:jc w:val="center"/>
    </w:pPr>
    <w:rPr>
      <w:rFonts w:ascii="宋体" w:hAnsi="宋体"/>
      <w:kern w:val="0"/>
    </w:rPr>
  </w:style>
  <w:style w:type="paragraph" w:customStyle="1" w:styleId="225">
    <w:name w:val="xl73"/>
    <w:basedOn w:val="1"/>
    <w:autoRedefine/>
    <w:qFormat/>
    <w:uiPriority w:val="0"/>
    <w:pPr>
      <w:widowControl/>
      <w:pBdr>
        <w:top w:val="single" w:color="auto" w:sz="8" w:space="0"/>
        <w:right w:val="single" w:color="auto" w:sz="8" w:space="0"/>
      </w:pBdr>
      <w:spacing w:before="100" w:beforeAutospacing="1" w:after="100" w:afterAutospacing="1"/>
      <w:jc w:val="center"/>
    </w:pPr>
    <w:rPr>
      <w:rFonts w:ascii="宋体" w:hAnsi="宋体"/>
      <w:kern w:val="0"/>
    </w:rPr>
  </w:style>
  <w:style w:type="paragraph" w:customStyle="1" w:styleId="226">
    <w:name w:val="xl75"/>
    <w:basedOn w:val="1"/>
    <w:autoRedefine/>
    <w:qFormat/>
    <w:uiPriority w:val="0"/>
    <w:pPr>
      <w:widowControl/>
      <w:pBdr>
        <w:top w:val="single" w:color="auto" w:sz="8" w:space="0"/>
        <w:left w:val="single" w:color="auto" w:sz="8" w:space="0"/>
      </w:pBdr>
      <w:spacing w:before="100" w:beforeAutospacing="1" w:after="100" w:afterAutospacing="1"/>
      <w:jc w:val="center"/>
    </w:pPr>
    <w:rPr>
      <w:rFonts w:ascii="宋体" w:hAnsi="宋体"/>
      <w:kern w:val="0"/>
    </w:rPr>
  </w:style>
  <w:style w:type="paragraph" w:customStyle="1" w:styleId="227">
    <w:name w:val="样式 标题 2标题 y2h2l22nd levelTitre22Header 2节标题 1.1节标题一级节名..."/>
    <w:basedOn w:val="3"/>
    <w:autoRedefine/>
    <w:qFormat/>
    <w:uiPriority w:val="0"/>
    <w:pPr>
      <w:spacing w:line="413" w:lineRule="auto"/>
    </w:pPr>
  </w:style>
  <w:style w:type="paragraph" w:customStyle="1" w:styleId="228">
    <w:name w:val="附录标识"/>
    <w:basedOn w:val="124"/>
    <w:autoRedefine/>
    <w:qFormat/>
    <w:uiPriority w:val="0"/>
    <w:pPr>
      <w:tabs>
        <w:tab w:val="left" w:pos="6405"/>
      </w:tabs>
      <w:spacing w:after="200"/>
    </w:pPr>
    <w:rPr>
      <w:sz w:val="21"/>
    </w:rPr>
  </w:style>
  <w:style w:type="paragraph" w:customStyle="1" w:styleId="229">
    <w:name w:val="五级条标题"/>
    <w:basedOn w:val="215"/>
    <w:next w:val="1"/>
    <w:autoRedefine/>
    <w:qFormat/>
    <w:uiPriority w:val="0"/>
    <w:pPr>
      <w:outlineLvl w:val="6"/>
    </w:pPr>
  </w:style>
  <w:style w:type="paragraph" w:customStyle="1" w:styleId="230">
    <w:name w:val="无间隔1"/>
    <w:autoRedefine/>
    <w:qFormat/>
    <w:uiPriority w:val="0"/>
    <w:pPr>
      <w:widowControl w:val="0"/>
      <w:jc w:val="both"/>
    </w:pPr>
    <w:rPr>
      <w:rFonts w:ascii="Calibri" w:hAnsi="Calibri" w:eastAsia="宋体" w:cs="Times New Roman"/>
      <w:kern w:val="2"/>
      <w:sz w:val="21"/>
      <w:lang w:val="en-US" w:eastAsia="zh-CN" w:bidi="ar-SA"/>
    </w:rPr>
  </w:style>
  <w:style w:type="paragraph" w:customStyle="1" w:styleId="231">
    <w:name w:val="样式 章标题 + 段前: 0.5 行 段后: 0.5 行"/>
    <w:basedOn w:val="137"/>
    <w:autoRedefine/>
    <w:qFormat/>
    <w:uiPriority w:val="0"/>
    <w:pPr>
      <w:tabs>
        <w:tab w:val="left" w:pos="432"/>
      </w:tabs>
      <w:spacing w:beforeLines="0" w:afterLines="0"/>
      <w:ind w:left="432" w:hanging="432"/>
    </w:pPr>
  </w:style>
  <w:style w:type="paragraph" w:customStyle="1" w:styleId="232">
    <w:name w:val="正文缩2"/>
    <w:basedOn w:val="1"/>
    <w:link w:val="233"/>
    <w:autoRedefine/>
    <w:qFormat/>
    <w:uiPriority w:val="0"/>
    <w:pPr>
      <w:spacing w:line="360" w:lineRule="auto"/>
      <w:ind w:firstLine="200" w:firstLineChars="200"/>
    </w:pPr>
    <w:rPr>
      <w:kern w:val="0"/>
      <w:sz w:val="24"/>
      <w:szCs w:val="24"/>
    </w:rPr>
  </w:style>
  <w:style w:type="character" w:customStyle="1" w:styleId="233">
    <w:name w:val="正文缩2 Char"/>
    <w:link w:val="232"/>
    <w:autoRedefine/>
    <w:qFormat/>
    <w:uiPriority w:val="0"/>
    <w:rPr>
      <w:rFonts w:ascii="Times New Roman" w:hAnsi="Times New Roman" w:eastAsia="仿宋_GB2312" w:cs="Times New Roman"/>
      <w:kern w:val="0"/>
      <w:sz w:val="24"/>
      <w:szCs w:val="24"/>
    </w:rPr>
  </w:style>
  <w:style w:type="paragraph" w:customStyle="1" w:styleId="234">
    <w:name w:val="修订2"/>
    <w:autoRedefine/>
    <w:hidden/>
    <w:semiHidden/>
    <w:qFormat/>
    <w:uiPriority w:val="99"/>
    <w:rPr>
      <w:rFonts w:ascii="Times New Roman" w:hAnsi="Times New Roman" w:eastAsia="宋体" w:cs="Times New Roman"/>
      <w:kern w:val="2"/>
      <w:sz w:val="21"/>
      <w:lang w:val="en-US" w:eastAsia="zh-CN" w:bidi="ar-SA"/>
    </w:rPr>
  </w:style>
  <w:style w:type="character" w:customStyle="1" w:styleId="235">
    <w:name w:val="未处理的提及1"/>
    <w:basedOn w:val="32"/>
    <w:autoRedefine/>
    <w:semiHidden/>
    <w:unhideWhenUsed/>
    <w:qFormat/>
    <w:uiPriority w:val="99"/>
    <w:rPr>
      <w:color w:val="605E5C"/>
      <w:shd w:val="clear" w:color="auto" w:fill="E1DFDD"/>
    </w:rPr>
  </w:style>
  <w:style w:type="character" w:customStyle="1" w:styleId="236">
    <w:name w:val="未处理的提及2"/>
    <w:basedOn w:val="32"/>
    <w:autoRedefine/>
    <w:semiHidden/>
    <w:unhideWhenUsed/>
    <w:qFormat/>
    <w:uiPriority w:val="99"/>
    <w:rPr>
      <w:color w:val="605E5C"/>
      <w:shd w:val="clear" w:color="auto" w:fill="E1DFDD"/>
    </w:rPr>
  </w:style>
  <w:style w:type="character" w:customStyle="1" w:styleId="237">
    <w:name w:val="未处理的提及3"/>
    <w:basedOn w:val="32"/>
    <w:autoRedefine/>
    <w:semiHidden/>
    <w:unhideWhenUsed/>
    <w:qFormat/>
    <w:uiPriority w:val="99"/>
    <w:rPr>
      <w:color w:val="605E5C"/>
      <w:shd w:val="clear" w:color="auto" w:fill="E1DFDD"/>
    </w:rPr>
  </w:style>
  <w:style w:type="paragraph" w:customStyle="1" w:styleId="238">
    <w:name w:val="修订3"/>
    <w:autoRedefine/>
    <w:hidden/>
    <w:semiHidden/>
    <w:qFormat/>
    <w:uiPriority w:val="99"/>
    <w:rPr>
      <w:rFonts w:ascii="Times New Roman" w:hAnsi="Times New Roman" w:eastAsia="宋体" w:cs="Times New Roman"/>
      <w:kern w:val="2"/>
      <w:sz w:val="21"/>
      <w:lang w:val="en-US" w:eastAsia="zh-CN" w:bidi="ar-SA"/>
    </w:rPr>
  </w:style>
  <w:style w:type="paragraph" w:customStyle="1" w:styleId="239">
    <w:name w:val="我的正文"/>
    <w:autoRedefine/>
    <w:qFormat/>
    <w:uiPriority w:val="0"/>
    <w:pPr>
      <w:spacing w:line="360" w:lineRule="auto"/>
      <w:ind w:firstLine="200" w:firstLineChars="200"/>
      <w:jc w:val="both"/>
    </w:pPr>
    <w:rPr>
      <w:rFonts w:ascii="Times New Roman" w:hAnsi="Times New Roman" w:eastAsia="宋体" w:cs="Arial"/>
      <w:color w:val="333333"/>
      <w:sz w:val="30"/>
      <w:szCs w:val="21"/>
      <w:lang w:val="en-US" w:eastAsia="zh-CN" w:bidi="ar-SA"/>
    </w:rPr>
  </w:style>
  <w:style w:type="paragraph" w:customStyle="1" w:styleId="240">
    <w:name w:val="表名"/>
    <w:next w:val="1"/>
    <w:autoRedefine/>
    <w:qFormat/>
    <w:uiPriority w:val="0"/>
    <w:pPr>
      <w:keepNext/>
      <w:numPr>
        <w:ilvl w:val="6"/>
        <w:numId w:val="2"/>
      </w:numPr>
      <w:spacing w:line="360" w:lineRule="auto"/>
      <w:outlineLvl w:val="6"/>
    </w:pPr>
    <w:rPr>
      <w:rFonts w:ascii="Times New Roman" w:hAnsi="Times New Roman" w:eastAsia="宋体" w:cs="Times New Roman"/>
      <w:sz w:val="24"/>
      <w:lang w:val="en-US" w:eastAsia="zh-CN" w:bidi="ar-SA"/>
    </w:rPr>
  </w:style>
  <w:style w:type="character" w:customStyle="1" w:styleId="241">
    <w:name w:val="font11"/>
    <w:basedOn w:val="32"/>
    <w:autoRedefine/>
    <w:qFormat/>
    <w:uiPriority w:val="0"/>
    <w:rPr>
      <w:rFonts w:hint="eastAsia" w:ascii="宋体" w:hAnsi="宋体" w:eastAsia="宋体" w:cs="宋体"/>
      <w:b/>
      <w:color w:val="000000"/>
      <w:sz w:val="21"/>
      <w:szCs w:val="21"/>
      <w:u w:val="none"/>
    </w:rPr>
  </w:style>
  <w:style w:type="character" w:customStyle="1" w:styleId="242">
    <w:name w:val="font21"/>
    <w:basedOn w:val="32"/>
    <w:autoRedefine/>
    <w:qFormat/>
    <w:uiPriority w:val="0"/>
    <w:rPr>
      <w:rFonts w:hint="default" w:ascii="Times New Roman" w:hAnsi="Times New Roman" w:cs="Times New Roman"/>
      <w:color w:val="000000"/>
      <w:sz w:val="21"/>
      <w:szCs w:val="21"/>
      <w:u w:val="none"/>
    </w:rPr>
  </w:style>
  <w:style w:type="character" w:customStyle="1" w:styleId="243">
    <w:name w:val="font31"/>
    <w:basedOn w:val="32"/>
    <w:autoRedefine/>
    <w:qFormat/>
    <w:uiPriority w:val="0"/>
    <w:rPr>
      <w:rFonts w:hint="eastAsia" w:ascii="宋体" w:hAnsi="宋体" w:eastAsia="宋体" w:cs="宋体"/>
      <w:color w:val="000000"/>
      <w:sz w:val="21"/>
      <w:szCs w:val="21"/>
      <w:u w:val="none"/>
    </w:rPr>
  </w:style>
  <w:style w:type="paragraph" w:customStyle="1" w:styleId="244">
    <w:name w:val="二级标题"/>
    <w:next w:val="1"/>
    <w:autoRedefine/>
    <w:qFormat/>
    <w:uiPriority w:val="0"/>
    <w:pPr>
      <w:keepNext/>
      <w:numPr>
        <w:ilvl w:val="1"/>
        <w:numId w:val="2"/>
      </w:numPr>
      <w:spacing w:beforeLines="50" w:line="360" w:lineRule="auto"/>
      <w:outlineLvl w:val="1"/>
    </w:pPr>
    <w:rPr>
      <w:rFonts w:ascii="Times New Roman" w:hAnsi="Times New Roman" w:eastAsia="宋体" w:cs="Times New Roman"/>
      <w:b/>
      <w:sz w:val="28"/>
      <w:lang w:val="en-US" w:eastAsia="zh-CN" w:bidi="ar-SA"/>
    </w:rPr>
  </w:style>
  <w:style w:type="table" w:customStyle="1" w:styleId="245">
    <w:name w:val="网格型1"/>
    <w:basedOn w:val="30"/>
    <w:autoRedefine/>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46">
    <w:name w:val="修订4"/>
    <w:autoRedefine/>
    <w:hidden/>
    <w:semiHidden/>
    <w:qFormat/>
    <w:uiPriority w:val="99"/>
    <w:rPr>
      <w:rFonts w:ascii="Times New Roman" w:hAnsi="Times New Roman" w:eastAsia="宋体" w:cs="Times New Roman"/>
      <w:kern w:val="2"/>
      <w:sz w:val="21"/>
      <w:lang w:val="en-US" w:eastAsia="zh-CN" w:bidi="ar-SA"/>
    </w:rPr>
  </w:style>
  <w:style w:type="character" w:customStyle="1" w:styleId="247">
    <w:name w:val="fontstyle21"/>
    <w:basedOn w:val="32"/>
    <w:autoRedefine/>
    <w:qFormat/>
    <w:uiPriority w:val="0"/>
    <w:rPr>
      <w:rFonts w:hint="default" w:ascii="Times New Roman" w:hAnsi="Times New Roman" w:cs="Times New Roman"/>
      <w:color w:val="000000"/>
      <w:sz w:val="32"/>
      <w:szCs w:val="32"/>
    </w:rPr>
  </w:style>
  <w:style w:type="character" w:customStyle="1" w:styleId="248">
    <w:name w:val="font01"/>
    <w:basedOn w:val="32"/>
    <w:autoRedefine/>
    <w:qFormat/>
    <w:uiPriority w:val="0"/>
    <w:rPr>
      <w:rFonts w:ascii="仿宋_GB2312" w:eastAsia="仿宋_GB2312" w:cs="仿宋_GB2312"/>
      <w:color w:val="000000"/>
      <w:sz w:val="24"/>
      <w:szCs w:val="24"/>
      <w:u w:val="none"/>
    </w:rPr>
  </w:style>
  <w:style w:type="character" w:customStyle="1" w:styleId="249">
    <w:name w:val="font51"/>
    <w:basedOn w:val="32"/>
    <w:autoRedefine/>
    <w:qFormat/>
    <w:uiPriority w:val="0"/>
    <w:rPr>
      <w:rFonts w:hint="eastAsia" w:ascii="仿宋_GB2312" w:eastAsia="仿宋_GB2312" w:cs="仿宋_GB2312"/>
      <w:color w:val="000000"/>
      <w:sz w:val="22"/>
      <w:szCs w:val="22"/>
      <w:u w:val="none"/>
    </w:rPr>
  </w:style>
  <w:style w:type="character" w:customStyle="1" w:styleId="250">
    <w:name w:val="font41"/>
    <w:basedOn w:val="32"/>
    <w:autoRedefine/>
    <w:qFormat/>
    <w:uiPriority w:val="0"/>
    <w:rPr>
      <w:rFonts w:hint="eastAsia" w:ascii="宋体" w:hAnsi="宋体" w:eastAsia="宋体" w:cs="宋体"/>
      <w:color w:val="000000"/>
      <w:sz w:val="18"/>
      <w:szCs w:val="18"/>
      <w:u w:val="none"/>
    </w:rPr>
  </w:style>
  <w:style w:type="character" w:customStyle="1" w:styleId="251">
    <w:name w:val="font61"/>
    <w:basedOn w:val="32"/>
    <w:autoRedefine/>
    <w:qFormat/>
    <w:uiPriority w:val="0"/>
    <w:rPr>
      <w:rFonts w:ascii="仿宋_GB2312" w:eastAsia="仿宋_GB2312" w:cs="仿宋_GB2312"/>
      <w:color w:val="000000"/>
      <w:sz w:val="18"/>
      <w:szCs w:val="18"/>
      <w:u w:val="none"/>
    </w:rPr>
  </w:style>
  <w:style w:type="paragraph" w:customStyle="1" w:styleId="252">
    <w:name w:val="TOC 标题2"/>
    <w:basedOn w:val="2"/>
    <w:next w:val="1"/>
    <w:autoRedefine/>
    <w:unhideWhenUsed/>
    <w:qFormat/>
    <w:uiPriority w:val="39"/>
    <w:pPr>
      <w:pageBreakBefore w:val="0"/>
      <w:numPr>
        <w:numId w:val="0"/>
      </w:numPr>
      <w:spacing w:before="340" w:after="330" w:line="578" w:lineRule="atLeast"/>
      <w:jc w:val="both"/>
      <w:outlineLvl w:val="9"/>
    </w:pPr>
    <w:rPr>
      <w:rFonts w:ascii="TimesNewRoman" w:hAnsi="TimesNewRoman" w:eastAsia="仿宋"/>
      <w:bCs/>
      <w:kern w:val="44"/>
      <w:szCs w:val="44"/>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 Type="http://schemas.openxmlformats.org/officeDocument/2006/relationships/footer" Target="footer3.xml"/><Relationship Id="rId67" Type="http://schemas.openxmlformats.org/officeDocument/2006/relationships/fontTable" Target="fontTable.xml"/><Relationship Id="rId66" Type="http://schemas.openxmlformats.org/officeDocument/2006/relationships/customXml" Target="../customXml/item1.xml"/><Relationship Id="rId65" Type="http://schemas.openxmlformats.org/officeDocument/2006/relationships/numbering" Target="numbering.xml"/><Relationship Id="rId64" Type="http://schemas.openxmlformats.org/officeDocument/2006/relationships/image" Target="media/image55.png"/><Relationship Id="rId63" Type="http://schemas.openxmlformats.org/officeDocument/2006/relationships/image" Target="media/image54.tiff"/><Relationship Id="rId62" Type="http://schemas.openxmlformats.org/officeDocument/2006/relationships/image" Target="media/image53.png"/><Relationship Id="rId61" Type="http://schemas.openxmlformats.org/officeDocument/2006/relationships/image" Target="media/image52.tiff"/><Relationship Id="rId60" Type="http://schemas.openxmlformats.org/officeDocument/2006/relationships/image" Target="media/image51.png"/><Relationship Id="rId6" Type="http://schemas.openxmlformats.org/officeDocument/2006/relationships/footer" Target="footer2.xml"/><Relationship Id="rId59" Type="http://schemas.openxmlformats.org/officeDocument/2006/relationships/image" Target="media/image50.tiff"/><Relationship Id="rId58" Type="http://schemas.openxmlformats.org/officeDocument/2006/relationships/image" Target="media/image49.tiff"/><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footer" Target="footer1.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tiff"/><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endnotes" Target="endnotes.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tiff"/><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footnotes" Target="footnotes.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tiff"/><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tiff"/><Relationship Id="rId21" Type="http://schemas.openxmlformats.org/officeDocument/2006/relationships/image" Target="media/image12.tiff"/><Relationship Id="rId20" Type="http://schemas.openxmlformats.org/officeDocument/2006/relationships/image" Target="media/image11.tiff"/><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chart" Target="charts/chart1.xml"/><Relationship Id="rId16" Type="http://schemas.openxmlformats.org/officeDocument/2006/relationships/image" Target="media/image8.tiff"/><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jpeg"/><Relationship Id="rId10" Type="http://schemas.openxmlformats.org/officeDocument/2006/relationships/image" Target="media/image2.png"/><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D:\wechat\&#20449;&#24687;&#20648;&#23384;\WeChat%20Files\wxid_4452954528914\FileStorage\File\2024-01\&#26707;&#20161;&#21439;&#38656;&#27714;&#39044;&#27979;%20-%20&#21103;&#2641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zh-CN" altLang="en-US"/>
              <a:t>桓仁满族自治县机动车保有量预测函数曲线</a:t>
            </a:r>
            <a:endParaRPr lang="zh-CN" altLang="en-US"/>
          </a:p>
        </c:rich>
      </c:tx>
      <c:layout/>
      <c:overlay val="0"/>
      <c:spPr>
        <a:noFill/>
        <a:ln>
          <a:noFill/>
        </a:ln>
        <a:effectLst/>
      </c:spPr>
    </c:title>
    <c:autoTitleDeleted val="0"/>
    <c:plotArea>
      <c:layout/>
      <c:lineChart>
        <c:grouping val="standard"/>
        <c:varyColors val="0"/>
        <c:ser>
          <c:idx val="0"/>
          <c:order val="0"/>
          <c:spPr>
            <a:ln w="28575" cap="rnd">
              <a:solidFill>
                <a:schemeClr val="accent1"/>
              </a:solidFill>
              <a:round/>
            </a:ln>
            <a:effectLst/>
          </c:spPr>
          <c:marker>
            <c:symbol val="none"/>
          </c:marker>
          <c:dLbls>
            <c:delete val="1"/>
          </c:dLbls>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forward val="2"/>
            <c:dispRSqr val="1"/>
            <c:dispEq val="1"/>
            <c:trendlineLbl>
              <c:layout>
                <c:manualLayout>
                  <c:x val="0.0289214668530421"/>
                  <c:y val="-0.102947893839896"/>
                </c:manualLayout>
              </c:layout>
              <c:numFmt formatCode="General" sourceLinked="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trendlineLbl>
          </c:trendline>
          <c:trendline>
            <c:spPr>
              <a:ln w="19050" cap="rnd">
                <a:solidFill>
                  <a:schemeClr val="accent1"/>
                </a:solidFill>
                <a:prstDash val="sysDot"/>
              </a:ln>
              <a:effectLst/>
            </c:spPr>
            <c:trendlineType val="power"/>
            <c:dispRSqr val="1"/>
            <c:dispEq val="1"/>
            <c:trendlineLbl>
              <c:layout>
                <c:manualLayout>
                  <c:x val="0.129982080449604"/>
                  <c:y val="0.0176129442379416"/>
                </c:manualLayout>
              </c:layout>
              <c:numFmt formatCode="General" sourceLinked="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trendlineLbl>
          </c:trendline>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og"/>
            <c:dispRSqr val="1"/>
            <c:dispEq val="1"/>
            <c:trendlineLbl>
              <c:layout>
                <c:manualLayout>
                  <c:x val="0.1315386836569"/>
                  <c:y val="0.0476516587587064"/>
                </c:manualLayout>
              </c:layout>
              <c:numFmt formatCode="General" sourceLinked="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trendlineLbl>
          </c:trendline>
          <c:trendline>
            <c:spPr>
              <a:ln w="19050" cap="rnd">
                <a:solidFill>
                  <a:schemeClr val="accent1"/>
                </a:solidFill>
                <a:prstDash val="sysDot"/>
              </a:ln>
              <a:effectLst/>
            </c:spPr>
            <c:trendlineType val="poly"/>
            <c:order val="2"/>
            <c:dispRSqr val="1"/>
            <c:dispEq val="1"/>
            <c:trendlineLbl>
              <c:layout>
                <c:manualLayout>
                  <c:x val="0.131640738631585"/>
                  <c:y val="-0.0430455147878444"/>
                </c:manualLayout>
              </c:layout>
              <c:numFmt formatCode="General" sourceLinked="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trendlineLbl>
          </c:trendline>
          <c:cat>
            <c:numRef>
              <c:f>时间序列法!$E$49:$V$49</c:f>
              <c:numCache>
                <c:formatCode>General</c:formatCode>
                <c:ptCount val="18"/>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numCache>
            </c:numRef>
          </c:cat>
          <c:val>
            <c:numRef>
              <c:f>时间序列法!$E$50:$V$50</c:f>
              <c:numCache>
                <c:formatCode>General</c:formatCode>
                <c:ptCount val="18"/>
                <c:pt idx="0">
                  <c:v>19</c:v>
                </c:pt>
                <c:pt idx="1">
                  <c:v>32</c:v>
                </c:pt>
                <c:pt idx="2">
                  <c:v>46</c:v>
                </c:pt>
                <c:pt idx="3">
                  <c:v>122</c:v>
                </c:pt>
                <c:pt idx="4" c:formatCode="#,##0">
                  <c:v>169</c:v>
                </c:pt>
                <c:pt idx="5" c:formatCode="0_ ">
                  <c:v>363</c:v>
                </c:pt>
              </c:numCache>
            </c:numRef>
          </c:val>
          <c:smooth val="0"/>
        </c:ser>
        <c:dLbls>
          <c:showLegendKey val="0"/>
          <c:showVal val="0"/>
          <c:showCatName val="0"/>
          <c:showSerName val="0"/>
          <c:showPercent val="0"/>
          <c:showBubbleSize val="0"/>
        </c:dLbls>
        <c:marker val="0"/>
        <c:smooth val="0"/>
        <c:axId val="1714046671"/>
        <c:axId val="1714031695"/>
      </c:lineChart>
      <c:catAx>
        <c:axId val="17140466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714031695"/>
        <c:crosses val="autoZero"/>
        <c:auto val="1"/>
        <c:lblAlgn val="ctr"/>
        <c:lblOffset val="100"/>
        <c:noMultiLvlLbl val="0"/>
      </c:catAx>
      <c:valAx>
        <c:axId val="171403169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71404667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003B4F-B4B1-46AD-994C-8C3509B3C678}">
  <ds:schemaRefs/>
</ds:datastoreItem>
</file>

<file path=docProps/app.xml><?xml version="1.0" encoding="utf-8"?>
<Properties xmlns="http://schemas.openxmlformats.org/officeDocument/2006/extended-properties" xmlns:vt="http://schemas.openxmlformats.org/officeDocument/2006/docPropsVTypes">
  <Template>Normal.dotm</Template>
  <Pages>101</Pages>
  <Words>7541</Words>
  <Characters>42984</Characters>
  <Lines>358</Lines>
  <Paragraphs>100</Paragraphs>
  <TotalTime>3</TotalTime>
  <ScaleCrop>false</ScaleCrop>
  <LinksUpToDate>false</LinksUpToDate>
  <CharactersWithSpaces>50425</CharactersWithSpaces>
  <Application>WPS Office_12.1.0.16417_F1E327BC-269C-435d-A152-05C5408002CA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2024-02-01T05:30:00Z</dcterms:created>
  <dc:creator>121775140@qq.com</dc:creator>
  <cp:lastModifiedBy>Administrator</cp:lastModifiedBy>
  <dcterms:modified xsi:type="dcterms:W3CDTF">2024-04-11T06:57:57Z</dcterms:modified>
  <cp:revision>29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2052-12.1.0.16417</vt:lpwstr>
  </property>
  <property fmtid="{D5CDD505-2E9C-101B-9397-08002B2CF9AE}" pid="3" name="ICV">
    <vt:lpwstr>834305EED0E048BAB546563B97387B1B_13</vt:lpwstr>
  </property>
</Properties>
</file>