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abs>
          <w:tab w:val="left" w:pos="1392"/>
        </w:tabs>
        <w:spacing w:before="0" w:beforeAutospacing="0" w:after="0" w:afterAutospacing="0"/>
        <w:ind w:left="0" w:right="0"/>
        <w:jc w:val="both"/>
        <w:rPr>
          <w:rFonts w:hint="eastAsia" w:eastAsia="宋体"/>
          <w:b/>
          <w:bCs w:val="0"/>
          <w:sz w:val="44"/>
          <w:szCs w:val="44"/>
          <w:u w:val="single"/>
          <w:lang w:val="en-US" w:eastAsia="zh-CN"/>
        </w:rPr>
      </w:pPr>
    </w:p>
    <w:p>
      <w:pPr>
        <w:widowControl w:val="0"/>
        <w:spacing w:before="0" w:beforeAutospacing="0" w:after="0" w:afterAutospacing="0"/>
        <w:ind w:left="0" w:right="0"/>
        <w:jc w:val="both"/>
        <w:rPr>
          <w:b/>
          <w:bCs w:val="0"/>
          <w:sz w:val="44"/>
          <w:szCs w:val="44"/>
          <w:u w:val="single"/>
          <w:lang w:val="en-US"/>
        </w:rPr>
      </w:pPr>
    </w:p>
    <w:p>
      <w:pPr>
        <w:widowControl w:val="0"/>
        <w:spacing w:before="0" w:beforeAutospacing="0" w:after="0" w:afterAutospacing="0"/>
        <w:ind w:left="0" w:right="0"/>
        <w:jc w:val="center"/>
        <w:rPr>
          <w:rFonts w:hint="eastAsia" w:ascii="楷体_GB2312" w:hAnsi="楷体_GB2312" w:eastAsia="楷体_GB2312" w:cs="楷体_GB2312"/>
          <w:b w:val="0"/>
          <w:bCs/>
          <w:sz w:val="72"/>
          <w:szCs w:val="72"/>
          <w:lang w:val="en-US"/>
        </w:rPr>
      </w:pPr>
      <w:bookmarkStart w:id="0" w:name="_GoBack"/>
      <w:r>
        <w:rPr>
          <w:rFonts w:hint="eastAsia" w:ascii="楷体_GB2312" w:hAnsi="楷体_GB2312" w:eastAsia="楷体_GB2312" w:cs="楷体_GB2312"/>
          <w:b w:val="0"/>
          <w:bCs/>
          <w:kern w:val="2"/>
          <w:sz w:val="72"/>
          <w:szCs w:val="72"/>
          <w:lang w:val="en-US" w:eastAsia="zh-CN"/>
        </w:rPr>
        <w:t>桓仁满族自治县市场监督管理局部门预算</w:t>
      </w:r>
    </w:p>
    <w:p>
      <w:pPr>
        <w:widowControl w:val="0"/>
        <w:spacing w:before="0" w:beforeAutospacing="0" w:after="0" w:afterAutospacing="0"/>
        <w:ind w:left="0" w:right="0"/>
        <w:jc w:val="center"/>
        <w:rPr>
          <w:rFonts w:hint="eastAsia" w:ascii="楷体_GB2312" w:hAnsi="楷体_GB2312" w:eastAsia="楷体_GB2312" w:cs="楷体_GB2312"/>
          <w:b w:val="0"/>
          <w:bCs/>
          <w:sz w:val="72"/>
          <w:szCs w:val="72"/>
          <w:lang w:val="en-US"/>
        </w:rPr>
      </w:pPr>
      <w:r>
        <w:rPr>
          <w:rFonts w:hint="eastAsia" w:ascii="楷体_GB2312" w:hAnsi="楷体_GB2312" w:eastAsia="楷体_GB2312" w:cs="楷体_GB2312"/>
          <w:b w:val="0"/>
          <w:bCs/>
          <w:kern w:val="2"/>
          <w:sz w:val="72"/>
          <w:szCs w:val="72"/>
          <w:lang w:val="en-US" w:eastAsia="zh-CN"/>
        </w:rPr>
        <w:t>（2018年）</w:t>
      </w:r>
    </w:p>
    <w:bookmarkEnd w:id="0"/>
    <w:p>
      <w:pPr>
        <w:widowControl w:val="0"/>
        <w:spacing w:before="0" w:beforeAutospacing="0" w:after="0" w:afterAutospacing="0"/>
        <w:ind w:left="0" w:right="0"/>
        <w:jc w:val="center"/>
        <w:rPr>
          <w:rFonts w:hint="eastAsia" w:ascii="楷体_GB2312" w:hAnsi="楷体_GB2312" w:eastAsia="楷体_GB2312" w:cs="楷体_GB2312"/>
          <w:b w:val="0"/>
          <w:bCs/>
          <w:sz w:val="72"/>
          <w:szCs w:val="72"/>
          <w:u w:val="single"/>
          <w:lang w:val="en-US"/>
        </w:rPr>
      </w:pPr>
    </w:p>
    <w:p>
      <w:pPr>
        <w:widowControl w:val="0"/>
        <w:spacing w:before="0" w:beforeAutospacing="0" w:after="0" w:afterAutospacing="0"/>
        <w:ind w:left="0" w:right="0"/>
        <w:jc w:val="center"/>
        <w:rPr>
          <w:b/>
          <w:bCs w:val="0"/>
          <w:sz w:val="44"/>
          <w:szCs w:val="44"/>
          <w:u w:val="single"/>
          <w:lang w:val="en-US"/>
        </w:rPr>
      </w:pPr>
    </w:p>
    <w:p>
      <w:pPr>
        <w:widowControl w:val="0"/>
        <w:spacing w:before="0" w:beforeAutospacing="0" w:after="0" w:afterAutospacing="0"/>
        <w:ind w:left="0" w:right="0"/>
        <w:jc w:val="center"/>
        <w:rPr>
          <w:b/>
          <w:bCs w:val="0"/>
          <w:sz w:val="44"/>
          <w:szCs w:val="44"/>
          <w:u w:val="single"/>
          <w:lang w:val="en-US"/>
        </w:rPr>
      </w:pPr>
    </w:p>
    <w:p>
      <w:pPr>
        <w:widowControl w:val="0"/>
        <w:spacing w:before="0" w:beforeAutospacing="0" w:after="0" w:afterAutospacing="0"/>
        <w:ind w:left="0" w:right="0"/>
        <w:jc w:val="center"/>
        <w:rPr>
          <w:b/>
          <w:bCs w:val="0"/>
          <w:sz w:val="44"/>
          <w:szCs w:val="44"/>
          <w:u w:val="single"/>
          <w:lang w:val="en-US"/>
        </w:rPr>
      </w:pPr>
    </w:p>
    <w:p>
      <w:pPr>
        <w:widowControl w:val="0"/>
        <w:spacing w:before="0" w:beforeAutospacing="0" w:after="0" w:afterAutospacing="0"/>
        <w:ind w:left="0" w:right="0"/>
        <w:jc w:val="center"/>
        <w:rPr>
          <w:b/>
          <w:bCs w:val="0"/>
          <w:sz w:val="44"/>
          <w:szCs w:val="44"/>
          <w:u w:val="single"/>
          <w:lang w:val="en-US"/>
        </w:rPr>
      </w:pPr>
    </w:p>
    <w:p>
      <w:pPr>
        <w:widowControl w:val="0"/>
        <w:spacing w:before="0" w:beforeAutospacing="0" w:after="0" w:afterAutospacing="0"/>
        <w:ind w:left="0" w:right="0"/>
        <w:jc w:val="center"/>
        <w:rPr>
          <w:b/>
          <w:bCs w:val="0"/>
          <w:sz w:val="44"/>
          <w:szCs w:val="44"/>
          <w:u w:val="single"/>
          <w:lang w:val="en-US"/>
        </w:rPr>
      </w:pPr>
    </w:p>
    <w:p>
      <w:pPr>
        <w:widowControl w:val="0"/>
        <w:spacing w:before="0" w:beforeAutospacing="0" w:after="0" w:afterAutospacing="0"/>
        <w:ind w:left="0" w:right="0"/>
        <w:jc w:val="center"/>
        <w:rPr>
          <w:b/>
          <w:bCs w:val="0"/>
          <w:sz w:val="44"/>
          <w:szCs w:val="44"/>
          <w:u w:val="single"/>
          <w:lang w:val="en-US"/>
        </w:rPr>
      </w:pPr>
    </w:p>
    <w:p>
      <w:pPr>
        <w:widowControl w:val="0"/>
        <w:spacing w:before="0" w:beforeAutospacing="0" w:after="0" w:afterAutospacing="0"/>
        <w:ind w:left="0" w:right="0"/>
        <w:jc w:val="center"/>
        <w:rPr>
          <w:b/>
          <w:bCs w:val="0"/>
          <w:sz w:val="44"/>
          <w:szCs w:val="44"/>
          <w:u w:val="single"/>
          <w:lang w:val="en-US"/>
        </w:rPr>
      </w:pPr>
    </w:p>
    <w:p>
      <w:pPr>
        <w:widowControl w:val="0"/>
        <w:spacing w:before="0" w:beforeAutospacing="0" w:after="0" w:afterAutospacing="0"/>
        <w:ind w:left="0" w:right="0"/>
        <w:jc w:val="center"/>
        <w:rPr>
          <w:b/>
          <w:bCs w:val="0"/>
          <w:sz w:val="44"/>
          <w:szCs w:val="44"/>
          <w:u w:val="single"/>
          <w:lang w:val="en-US"/>
        </w:rPr>
      </w:pPr>
    </w:p>
    <w:p>
      <w:pPr>
        <w:widowControl w:val="0"/>
        <w:spacing w:before="0" w:beforeAutospacing="0" w:after="0" w:afterAutospacing="0"/>
        <w:ind w:left="0" w:right="0"/>
        <w:jc w:val="center"/>
        <w:rPr>
          <w:b/>
          <w:bCs w:val="0"/>
          <w:sz w:val="44"/>
          <w:szCs w:val="44"/>
          <w:u w:val="single"/>
          <w:lang w:val="en-US"/>
        </w:rPr>
      </w:pPr>
      <w:r>
        <w:rPr>
          <w:rFonts w:hint="eastAsia" w:ascii="Times New Roman" w:hAnsi="Times New Roman" w:eastAsia="宋体" w:cs="宋体"/>
          <w:b/>
          <w:bCs w:val="0"/>
          <w:kern w:val="2"/>
          <w:sz w:val="44"/>
          <w:szCs w:val="44"/>
          <w:lang w:val="en-US" w:eastAsia="zh-CN"/>
        </w:rPr>
        <w:t>目</w:t>
      </w:r>
      <w:r>
        <w:rPr>
          <w:rFonts w:hint="default" w:ascii="Times New Roman" w:hAnsi="Times New Roman" w:eastAsia="宋体" w:cs="Times New Roman"/>
          <w:b/>
          <w:bCs w:val="0"/>
          <w:kern w:val="2"/>
          <w:sz w:val="44"/>
          <w:szCs w:val="44"/>
          <w:lang w:val="en-US" w:eastAsia="zh-CN"/>
        </w:rPr>
        <w:t xml:space="preserve">    </w:t>
      </w:r>
      <w:r>
        <w:rPr>
          <w:rFonts w:hint="eastAsia" w:ascii="Times New Roman" w:hAnsi="Times New Roman" w:eastAsia="宋体" w:cs="宋体"/>
          <w:b/>
          <w:bCs w:val="0"/>
          <w:kern w:val="2"/>
          <w:sz w:val="44"/>
          <w:szCs w:val="44"/>
          <w:lang w:val="en-US" w:eastAsia="zh-CN"/>
        </w:rPr>
        <w:t>录</w:t>
      </w:r>
    </w:p>
    <w:p>
      <w:pPr>
        <w:widowControl w:val="0"/>
        <w:spacing w:before="0" w:beforeAutospacing="0" w:after="0" w:afterAutospacing="0"/>
        <w:ind w:left="0" w:right="0"/>
        <w:jc w:val="both"/>
        <w:rPr>
          <w:rFonts w:hint="eastAsia" w:ascii="黑体" w:hAnsi="宋体" w:eastAsia="黑体" w:cs="黑体"/>
          <w:sz w:val="32"/>
          <w:szCs w:val="32"/>
          <w:lang w:val="en-US"/>
        </w:rPr>
      </w:pPr>
      <w:r>
        <w:rPr>
          <w:rFonts w:hint="eastAsia" w:ascii="黑体" w:hAnsi="宋体" w:eastAsia="黑体" w:cs="黑体"/>
          <w:kern w:val="2"/>
          <w:sz w:val="32"/>
          <w:szCs w:val="32"/>
          <w:lang w:val="en-US" w:eastAsia="zh-CN"/>
        </w:rPr>
        <w:t>第一部分    桓仁满族自治县市场监督管理局概况</w:t>
      </w:r>
    </w:p>
    <w:p>
      <w:pPr>
        <w:widowControl w:val="0"/>
        <w:numPr>
          <w:ilvl w:val="0"/>
          <w:numId w:val="1"/>
        </w:numPr>
        <w:spacing w:before="0" w:beforeAutospacing="0" w:after="0" w:afterAutospacing="0"/>
        <w:ind w:left="720" w:right="0" w:hanging="720"/>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主要职责</w:t>
      </w:r>
    </w:p>
    <w:p>
      <w:pPr>
        <w:widowControl w:val="0"/>
        <w:numPr>
          <w:ilvl w:val="0"/>
          <w:numId w:val="1"/>
        </w:numPr>
        <w:spacing w:before="0" w:beforeAutospacing="0" w:after="0" w:afterAutospacing="0"/>
        <w:ind w:left="720" w:right="0" w:hanging="720"/>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部门预算单位构成</w:t>
      </w:r>
    </w:p>
    <w:p>
      <w:pPr>
        <w:widowControl w:val="0"/>
        <w:spacing w:before="0" w:beforeAutospacing="0" w:after="0" w:afterAutospacing="0"/>
        <w:ind w:left="0" w:right="0"/>
        <w:jc w:val="both"/>
        <w:rPr>
          <w:rFonts w:hint="eastAsia" w:ascii="黑体" w:hAnsi="宋体" w:eastAsia="黑体" w:cs="黑体"/>
          <w:sz w:val="32"/>
          <w:szCs w:val="32"/>
          <w:lang w:val="en-US"/>
        </w:rPr>
      </w:pPr>
      <w:r>
        <w:rPr>
          <w:rFonts w:hint="eastAsia" w:ascii="黑体" w:hAnsi="宋体" w:eastAsia="黑体" w:cs="黑体"/>
          <w:kern w:val="2"/>
          <w:sz w:val="32"/>
          <w:szCs w:val="32"/>
          <w:lang w:val="en-US" w:eastAsia="zh-CN"/>
        </w:rPr>
        <w:t>第二部分  桓仁满族自治县市场监督管理局2018年部门预算表</w:t>
      </w:r>
    </w:p>
    <w:p>
      <w:pPr>
        <w:widowControl w:val="0"/>
        <w:numPr>
          <w:ilvl w:val="0"/>
          <w:numId w:val="2"/>
        </w:numPr>
        <w:spacing w:before="0" w:beforeAutospacing="0" w:after="0" w:afterAutospacing="0"/>
        <w:ind w:left="720" w:right="0" w:hanging="720"/>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财政拨款收支预算总表</w:t>
      </w:r>
    </w:p>
    <w:p>
      <w:pPr>
        <w:widowControl w:val="0"/>
        <w:numPr>
          <w:ilvl w:val="0"/>
          <w:numId w:val="2"/>
        </w:numPr>
        <w:spacing w:before="0" w:beforeAutospacing="0" w:after="0" w:afterAutospacing="0"/>
        <w:ind w:left="720" w:right="0" w:hanging="720"/>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一般公共预算支出表</w:t>
      </w:r>
    </w:p>
    <w:p>
      <w:pPr>
        <w:widowControl w:val="0"/>
        <w:numPr>
          <w:ilvl w:val="0"/>
          <w:numId w:val="2"/>
        </w:numPr>
        <w:spacing w:before="0" w:beforeAutospacing="0" w:after="0" w:afterAutospacing="0"/>
        <w:ind w:left="720" w:right="0" w:hanging="720"/>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一般公共预算基本支出表</w:t>
      </w:r>
    </w:p>
    <w:p>
      <w:pPr>
        <w:widowControl w:val="0"/>
        <w:numPr>
          <w:ilvl w:val="0"/>
          <w:numId w:val="2"/>
        </w:numPr>
        <w:spacing w:before="0" w:beforeAutospacing="0" w:after="0" w:afterAutospacing="0"/>
        <w:ind w:left="720" w:right="0" w:hanging="720"/>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一般公共预算“三公”经费支出表</w:t>
      </w:r>
    </w:p>
    <w:p>
      <w:pPr>
        <w:widowControl w:val="0"/>
        <w:numPr>
          <w:ilvl w:val="0"/>
          <w:numId w:val="2"/>
        </w:numPr>
        <w:spacing w:before="0" w:beforeAutospacing="0" w:after="0" w:afterAutospacing="0"/>
        <w:ind w:left="720" w:right="0" w:hanging="720"/>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政府性基金预算支出表</w:t>
      </w:r>
    </w:p>
    <w:p>
      <w:pPr>
        <w:widowControl w:val="0"/>
        <w:numPr>
          <w:ilvl w:val="0"/>
          <w:numId w:val="2"/>
        </w:numPr>
        <w:spacing w:before="0" w:beforeAutospacing="0" w:after="0" w:afterAutospacing="0"/>
        <w:ind w:left="720" w:right="0" w:hanging="720"/>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部门收支预算总表</w:t>
      </w:r>
    </w:p>
    <w:p>
      <w:pPr>
        <w:widowControl w:val="0"/>
        <w:numPr>
          <w:ilvl w:val="0"/>
          <w:numId w:val="2"/>
        </w:numPr>
        <w:spacing w:before="0" w:beforeAutospacing="0" w:after="0" w:afterAutospacing="0"/>
        <w:ind w:left="720" w:right="0" w:hanging="720"/>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部门收入预算总表</w:t>
      </w:r>
    </w:p>
    <w:p>
      <w:pPr>
        <w:widowControl w:val="0"/>
        <w:numPr>
          <w:ilvl w:val="0"/>
          <w:numId w:val="2"/>
        </w:numPr>
        <w:spacing w:before="0" w:beforeAutospacing="0" w:after="0" w:afterAutospacing="0"/>
        <w:ind w:left="720" w:right="0" w:hanging="720"/>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部门支出预算总表</w:t>
      </w:r>
    </w:p>
    <w:p>
      <w:pPr>
        <w:widowControl w:val="0"/>
        <w:numPr>
          <w:ilvl w:val="0"/>
          <w:numId w:val="2"/>
        </w:numPr>
        <w:spacing w:before="0" w:beforeAutospacing="0" w:after="0" w:afterAutospacing="0"/>
        <w:ind w:left="720" w:right="0" w:hanging="720"/>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项目支出预算明细表</w:t>
      </w:r>
    </w:p>
    <w:p>
      <w:pPr>
        <w:widowControl w:val="0"/>
        <w:numPr>
          <w:ilvl w:val="0"/>
          <w:numId w:val="2"/>
        </w:numPr>
        <w:spacing w:before="0" w:beforeAutospacing="0" w:after="0" w:afterAutospacing="0"/>
        <w:ind w:left="720" w:right="0" w:hanging="720"/>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政府采购支出预算明细表</w:t>
      </w:r>
    </w:p>
    <w:p>
      <w:pPr>
        <w:widowControl w:val="0"/>
        <w:numPr>
          <w:ilvl w:val="0"/>
          <w:numId w:val="2"/>
        </w:numPr>
        <w:spacing w:before="0" w:beforeAutospacing="0" w:after="0" w:afterAutospacing="0"/>
        <w:ind w:left="720" w:right="0" w:hanging="720"/>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“三公”经费汇总表</w:t>
      </w:r>
    </w:p>
    <w:p>
      <w:pPr>
        <w:widowControl w:val="0"/>
        <w:numPr>
          <w:ilvl w:val="0"/>
          <w:numId w:val="2"/>
        </w:numPr>
        <w:spacing w:before="0" w:beforeAutospacing="0" w:after="0" w:afterAutospacing="0"/>
        <w:ind w:left="720" w:right="0" w:hanging="720"/>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2018年纳入绩效管理项目表</w:t>
      </w:r>
    </w:p>
    <w:p>
      <w:pPr>
        <w:widowControl w:val="0"/>
        <w:spacing w:before="0" w:beforeAutospacing="0" w:after="0" w:afterAutospacing="0"/>
        <w:ind w:left="0" w:right="0"/>
        <w:jc w:val="both"/>
        <w:rPr>
          <w:rFonts w:hint="eastAsia" w:ascii="黑体" w:hAnsi="宋体" w:eastAsia="黑体" w:cs="黑体"/>
          <w:sz w:val="32"/>
          <w:szCs w:val="32"/>
          <w:lang w:val="en-US"/>
        </w:rPr>
      </w:pPr>
      <w:r>
        <w:rPr>
          <w:rFonts w:hint="eastAsia" w:ascii="黑体" w:hAnsi="宋体" w:eastAsia="黑体" w:cs="黑体"/>
          <w:kern w:val="2"/>
          <w:sz w:val="32"/>
          <w:szCs w:val="32"/>
          <w:lang w:val="en-US" w:eastAsia="zh-CN"/>
        </w:rPr>
        <w:t>第三部分    桓仁满族自治县市场监督管理局2018年部门预算情况说明</w:t>
      </w:r>
    </w:p>
    <w:p>
      <w:pPr>
        <w:widowControl w:val="0"/>
        <w:spacing w:before="0" w:beforeAutospacing="0" w:after="0" w:afterAutospacing="0"/>
        <w:ind w:left="0" w:right="0"/>
        <w:jc w:val="both"/>
        <w:rPr>
          <w:rFonts w:hint="eastAsia" w:ascii="黑体" w:hAnsi="宋体" w:eastAsia="黑体" w:cs="黑体"/>
          <w:sz w:val="32"/>
          <w:szCs w:val="32"/>
          <w:lang w:val="en-US"/>
        </w:rPr>
      </w:pPr>
      <w:r>
        <w:rPr>
          <w:rFonts w:hint="eastAsia" w:ascii="黑体" w:hAnsi="宋体" w:eastAsia="黑体" w:cs="黑体"/>
          <w:kern w:val="2"/>
          <w:sz w:val="32"/>
          <w:szCs w:val="32"/>
          <w:lang w:val="en-US" w:eastAsia="zh-CN"/>
        </w:rPr>
        <w:t>第四部分    名词解释</w:t>
      </w:r>
    </w:p>
    <w:p>
      <w:pPr>
        <w:widowControl w:val="0"/>
        <w:spacing w:before="0" w:beforeAutospacing="0" w:after="0" w:afterAutospacing="0"/>
        <w:ind w:left="0" w:right="0"/>
        <w:jc w:val="both"/>
        <w:rPr>
          <w:b/>
          <w:bCs w:val="0"/>
          <w:sz w:val="44"/>
          <w:szCs w:val="44"/>
          <w:u w:val="single"/>
          <w:lang w:val="en-US"/>
        </w:rPr>
      </w:pPr>
    </w:p>
    <w:p>
      <w:pPr>
        <w:widowControl w:val="0"/>
        <w:spacing w:before="0" w:beforeAutospacing="0" w:after="0" w:afterAutospacing="0"/>
        <w:ind w:left="0" w:right="0"/>
        <w:jc w:val="both"/>
        <w:rPr>
          <w:b/>
          <w:bCs w:val="0"/>
          <w:sz w:val="44"/>
          <w:szCs w:val="44"/>
          <w:u w:val="single"/>
          <w:lang w:val="en-US"/>
        </w:rPr>
      </w:pPr>
    </w:p>
    <w:p>
      <w:pPr>
        <w:widowControl w:val="0"/>
        <w:spacing w:before="0" w:beforeAutospacing="0" w:after="0" w:afterAutospacing="0"/>
        <w:ind w:left="0" w:right="0" w:firstLine="542" w:firstLineChars="150"/>
        <w:jc w:val="both"/>
        <w:rPr>
          <w:rFonts w:hint="eastAsia" w:ascii="宋体" w:hAnsi="宋体" w:eastAsia="宋体" w:cs="宋体"/>
          <w:b/>
          <w:bCs w:val="0"/>
          <w:kern w:val="2"/>
          <w:sz w:val="36"/>
          <w:szCs w:val="36"/>
          <w:lang w:val="en-US" w:eastAsia="zh-CN"/>
        </w:rPr>
      </w:pPr>
    </w:p>
    <w:p>
      <w:pPr>
        <w:widowControl w:val="0"/>
        <w:spacing w:before="0" w:beforeAutospacing="0" w:after="0" w:afterAutospacing="0"/>
        <w:ind w:left="0" w:right="0" w:firstLine="482" w:firstLineChars="150"/>
        <w:jc w:val="both"/>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rPr>
        <w:t>第一部分 桓仁满族自治县市场监督管理局概况</w:t>
      </w:r>
    </w:p>
    <w:p>
      <w:pPr>
        <w:widowControl w:val="0"/>
        <w:spacing w:before="0" w:beforeAutospacing="0" w:after="0" w:afterAutospacing="0"/>
        <w:ind w:left="0" w:right="0" w:firstLine="640" w:firstLineChars="200"/>
        <w:jc w:val="left"/>
        <w:rPr>
          <w:rFonts w:hint="eastAsia" w:ascii="黑体" w:eastAsia="黑体" w:cs="黑体"/>
          <w:sz w:val="32"/>
          <w:szCs w:val="32"/>
          <w:lang w:val="en-US"/>
        </w:rPr>
      </w:pPr>
      <w:r>
        <w:rPr>
          <w:rFonts w:hint="eastAsia" w:ascii="黑体" w:hAnsi="Times New Roman" w:eastAsia="黑体" w:cs="黑体"/>
          <w:kern w:val="2"/>
          <w:sz w:val="32"/>
          <w:szCs w:val="32"/>
          <w:lang w:val="en-US" w:eastAsia="zh-CN"/>
        </w:rPr>
        <w:t>一、主要职责</w:t>
      </w:r>
    </w:p>
    <w:p>
      <w:pPr>
        <w:widowControl w:val="0"/>
        <w:spacing w:before="0" w:beforeAutospacing="0" w:after="0" w:afterAutospacing="0"/>
        <w:ind w:left="0" w:right="0" w:firstLine="720" w:firstLineChars="22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（一）负责市场监督管理和行政执法的有关工作，贯彻执行国家工商行政管理的方针、政策和有关法律、法规、规章。</w:t>
      </w:r>
    </w:p>
    <w:p>
      <w:pPr>
        <w:widowControl w:val="0"/>
        <w:spacing w:before="0" w:beforeAutospacing="0" w:after="0" w:afterAutospacing="0"/>
        <w:ind w:left="0" w:right="0" w:firstLine="720" w:firstLineChars="22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（二）负责辖区内资企业、个体工商户、农民专业合作社和从事经营活动的单位、个人独资企业等市场主体的登记注册和监督管理，承担依法查处无照经营的责任。</w:t>
      </w:r>
    </w:p>
    <w:p>
      <w:pPr>
        <w:widowControl w:val="0"/>
        <w:spacing w:before="0" w:beforeAutospacing="0" w:after="0" w:afterAutospacing="0"/>
        <w:ind w:left="0" w:right="0" w:firstLine="720" w:firstLineChars="22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（三）承担依法规范和维护各类市场经营秩序的责任，负责监督管理市场交易行为和网络商品交易及有关服务的行为。</w:t>
      </w:r>
    </w:p>
    <w:p>
      <w:pPr>
        <w:widowControl w:val="0"/>
        <w:spacing w:before="0" w:beforeAutospacing="0" w:after="0" w:afterAutospacing="0"/>
        <w:ind w:left="0" w:right="0" w:firstLine="720" w:firstLineChars="22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（四）承担流通领域商品质量监督管理工作；承担服务领域消费维权工作；查办侵害消费者合法权益案件；按分工查处假冒伪劣等违法行为；指导、处理消费者咨询、申诉、举报。</w:t>
      </w:r>
    </w:p>
    <w:p>
      <w:pPr>
        <w:widowControl w:val="0"/>
        <w:spacing w:before="0" w:beforeAutospacing="0" w:after="0" w:afterAutospacing="0"/>
        <w:ind w:left="0" w:right="0" w:firstLine="720" w:firstLineChars="22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五）拟订流通环节食品安全监督管理的措施、办法并组织实施；组织实施流通环节食品安全监督检查、质量监测及相关市场准入制度；负责食品流通许可证的审核、发放、监督管理工作；承担流通环节食品安全重大突发事件应对处置和食品安全案件查处工作。</w:t>
      </w:r>
    </w:p>
    <w:p>
      <w:pPr>
        <w:widowControl w:val="0"/>
        <w:spacing w:before="0" w:beforeAutospacing="0" w:after="0" w:afterAutospacing="0"/>
        <w:ind w:left="0" w:right="0" w:firstLine="720" w:firstLineChars="22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（六）依法监督管理直销企业和直销员及其直销活动（行政处罚除外），负责打击传销工作。</w:t>
      </w:r>
    </w:p>
    <w:p>
      <w:pPr>
        <w:widowControl w:val="0"/>
        <w:spacing w:before="0" w:beforeAutospacing="0" w:after="0" w:afterAutospacing="0"/>
        <w:ind w:left="0" w:right="0" w:firstLine="720" w:firstLineChars="22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（七）依法查处不正当竞争、商业贿赂、走私贩私等经济违法行为。</w:t>
      </w:r>
    </w:p>
    <w:p>
      <w:pPr>
        <w:widowControl w:val="0"/>
        <w:spacing w:before="0" w:beforeAutospacing="0" w:after="0" w:afterAutospacing="0"/>
        <w:ind w:left="0" w:right="0" w:firstLine="720" w:firstLineChars="22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（八）负责依法监督管理经纪人、经纪机构及经纪活动。</w:t>
      </w:r>
    </w:p>
    <w:p>
      <w:pPr>
        <w:widowControl w:val="0"/>
        <w:spacing w:before="0" w:beforeAutospacing="0" w:after="0" w:afterAutospacing="0"/>
        <w:ind w:left="0" w:right="0" w:firstLine="720" w:firstLineChars="22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（九）依法实施合同行政监督管理，负责管理动产抵押物登记，组织监督管理拍卖行为，负责依法查处合同欺诈等违法行为。</w:t>
      </w:r>
    </w:p>
    <w:p>
      <w:pPr>
        <w:widowControl w:val="0"/>
        <w:spacing w:before="0" w:beforeAutospacing="0" w:after="0" w:afterAutospacing="0"/>
        <w:ind w:left="0" w:right="0" w:firstLine="720" w:firstLineChars="22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（十）负责广告活动的监督管理工作，组织查处虚假宣传行为和其他广告违法行为。</w:t>
      </w:r>
    </w:p>
    <w:p>
      <w:pPr>
        <w:widowControl w:val="0"/>
        <w:spacing w:before="0" w:beforeAutospacing="0" w:after="0" w:afterAutospacing="0"/>
        <w:ind w:left="0" w:right="0" w:firstLine="720" w:firstLineChars="22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（十一）负责商标管理工作，查处商标侵权行为和其他商标违法行为，负责市著名商标推荐管理工作。</w:t>
      </w:r>
    </w:p>
    <w:p>
      <w:pPr>
        <w:widowControl w:val="0"/>
        <w:spacing w:before="0" w:beforeAutospacing="0" w:after="0" w:afterAutospacing="0"/>
        <w:ind w:left="0" w:right="0" w:firstLine="720" w:firstLineChars="22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（十二）组织指导企业、个体工商户、商品交易市场信用分类管理，研究分析并依法发布市场主体登记注册基础信息等，为政府决策和社会公众提供信息服务。</w:t>
      </w:r>
    </w:p>
    <w:p>
      <w:pPr>
        <w:widowControl w:val="0"/>
        <w:spacing w:before="0" w:beforeAutospacing="0" w:after="0" w:afterAutospacing="0"/>
        <w:ind w:left="0" w:right="0" w:firstLine="720" w:firstLineChars="22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（十三）负责个体工商户、私营企业经营行为的服务和监督管理。</w:t>
      </w:r>
    </w:p>
    <w:p>
      <w:pPr>
        <w:widowControl w:val="0"/>
        <w:spacing w:before="0" w:beforeAutospacing="0" w:after="0" w:afterAutospacing="0"/>
        <w:ind w:left="0" w:right="0" w:firstLine="720" w:firstLineChars="22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（十四）按权限负责辖区市场监督管理系统机构编制、人事、财务经费管理工作。</w:t>
      </w:r>
    </w:p>
    <w:p>
      <w:pPr>
        <w:widowControl w:val="0"/>
        <w:spacing w:before="0" w:beforeAutospacing="0" w:after="0" w:afterAutospacing="0"/>
        <w:ind w:left="0" w:right="0" w:firstLine="720" w:firstLineChars="225"/>
        <w:jc w:val="both"/>
        <w:rPr>
          <w:rFonts w:hint="eastAsia" w:ascii="黑体" w:eastAsia="黑体" w:cs="黑体"/>
          <w:sz w:val="32"/>
          <w:szCs w:val="32"/>
          <w:lang w:val="en-US"/>
        </w:rPr>
      </w:pPr>
      <w:r>
        <w:rPr>
          <w:rFonts w:hint="eastAsia" w:ascii="仿宋_GB2312" w:hAnsi="仿宋_GB2312" w:eastAsia="仿宋_GB2312" w:cs="仿宋_GB2312"/>
          <w:kern w:val="2"/>
          <w:sz w:val="32"/>
          <w:szCs w:val="32"/>
          <w:lang w:val="en-US" w:eastAsia="zh-CN"/>
        </w:rPr>
        <w:t>（十五）承办上级交办的其他事项。</w:t>
      </w:r>
    </w:p>
    <w:p>
      <w:pPr>
        <w:widowControl w:val="0"/>
        <w:spacing w:before="0" w:beforeAutospacing="0" w:after="0" w:afterAutospacing="0"/>
        <w:ind w:left="0" w:right="0" w:firstLine="640" w:firstLineChars="200"/>
        <w:jc w:val="left"/>
        <w:rPr>
          <w:rFonts w:hint="eastAsia" w:ascii="黑体" w:eastAsia="黑体" w:cs="黑体"/>
          <w:sz w:val="32"/>
          <w:szCs w:val="32"/>
          <w:lang w:val="en-US"/>
        </w:rPr>
      </w:pPr>
      <w:r>
        <w:rPr>
          <w:rFonts w:hint="eastAsia" w:ascii="黑体" w:hAnsi="Times New Roman" w:eastAsia="黑体" w:cs="黑体"/>
          <w:kern w:val="2"/>
          <w:sz w:val="32"/>
          <w:szCs w:val="32"/>
          <w:lang w:val="en-US" w:eastAsia="zh-CN"/>
        </w:rPr>
        <w:t>二、部门预算单位构成</w:t>
      </w:r>
    </w:p>
    <w:p>
      <w:pPr>
        <w:widowControl w:val="0"/>
        <w:spacing w:before="0" w:beforeAutospacing="0" w:after="0" w:afterAutospacing="0"/>
        <w:ind w:left="0" w:right="0" w:firstLine="640" w:firstLineChars="200"/>
        <w:jc w:val="left"/>
        <w:rPr>
          <w:rFonts w:hint="eastAsia" w:ascii="仿宋_GB2312" w:hAnsi="仿宋_GB2312" w:eastAsia="仿宋_GB2312" w:cs="仿宋_GB2312"/>
          <w:b w:val="0"/>
          <w:bCs/>
          <w:sz w:val="32"/>
          <w:szCs w:val="32"/>
          <w:lang w:val="en-US"/>
        </w:rPr>
      </w:pPr>
      <w:r>
        <w:rPr>
          <w:rFonts w:hint="eastAsia" w:ascii="仿宋_GB2312" w:hAnsi="仿宋_GB2312" w:eastAsia="仿宋_GB2312" w:cs="仿宋_GB2312"/>
          <w:b w:val="0"/>
          <w:bCs/>
          <w:kern w:val="2"/>
          <w:sz w:val="32"/>
          <w:szCs w:val="32"/>
          <w:lang w:val="en-US" w:eastAsia="zh-CN"/>
        </w:rPr>
        <w:t>纳入桓仁满族自治县市场监督管理局2018年部门预算编制范围预算单位包括：</w:t>
      </w:r>
    </w:p>
    <w:p>
      <w:pPr>
        <w:widowControl w:val="0"/>
        <w:spacing w:before="0" w:beforeAutospacing="0" w:after="0" w:afterAutospacing="0"/>
        <w:ind w:left="640" w:right="0"/>
        <w:jc w:val="left"/>
        <w:rPr>
          <w:rFonts w:hint="eastAsia" w:ascii="仿宋_GB2312" w:eastAsia="仿宋_GB2312" w:cs="仿宋_GB2312"/>
          <w:sz w:val="32"/>
          <w:szCs w:val="32"/>
          <w:lang w:val="en-US"/>
        </w:rPr>
      </w:pPr>
      <w:r>
        <w:rPr>
          <w:rFonts w:hint="eastAsia" w:ascii="仿宋_GB2312" w:hAnsi="Times New Roman" w:eastAsia="仿宋_GB2312" w:cs="仿宋_GB2312"/>
          <w:kern w:val="2"/>
          <w:sz w:val="32"/>
          <w:szCs w:val="32"/>
          <w:lang w:val="en-US" w:eastAsia="zh-CN"/>
        </w:rPr>
        <w:t>1、桓仁满族自治县市场监督管理局机关</w:t>
      </w:r>
    </w:p>
    <w:p>
      <w:pPr>
        <w:widowControl w:val="0"/>
        <w:spacing w:before="0" w:beforeAutospacing="0" w:after="0" w:afterAutospacing="0"/>
        <w:ind w:left="640" w:right="0"/>
        <w:jc w:val="left"/>
        <w:rPr>
          <w:rFonts w:hint="eastAsia" w:ascii="仿宋_GB2312" w:eastAsia="仿宋_GB2312" w:cs="仿宋_GB2312"/>
          <w:sz w:val="32"/>
          <w:szCs w:val="32"/>
          <w:lang w:val="en-US"/>
        </w:rPr>
      </w:pPr>
      <w:r>
        <w:rPr>
          <w:rFonts w:hint="eastAsia" w:ascii="仿宋_GB2312" w:hAnsi="Times New Roman" w:eastAsia="仿宋_GB2312" w:cs="仿宋_GB2312"/>
          <w:kern w:val="2"/>
          <w:sz w:val="32"/>
          <w:szCs w:val="32"/>
          <w:lang w:val="en-US" w:eastAsia="zh-CN"/>
        </w:rPr>
        <w:t>2、桓仁满族自治县锅炉压力容器检验所</w:t>
      </w:r>
    </w:p>
    <w:p>
      <w:pPr>
        <w:widowControl w:val="0"/>
        <w:spacing w:before="0" w:beforeAutospacing="0" w:after="0" w:afterAutospacing="0"/>
        <w:ind w:left="640" w:right="0"/>
        <w:jc w:val="left"/>
        <w:rPr>
          <w:rFonts w:hint="eastAsia" w:ascii="宋体" w:hAnsi="宋体" w:eastAsia="宋体" w:cs="宋体"/>
          <w:b/>
          <w:bCs w:val="0"/>
          <w:sz w:val="36"/>
          <w:szCs w:val="36"/>
          <w:lang w:val="en-US"/>
        </w:rPr>
      </w:pPr>
      <w:r>
        <w:rPr>
          <w:rFonts w:hint="eastAsia" w:ascii="仿宋_GB2312" w:hAnsi="Times New Roman" w:eastAsia="仿宋_GB2312" w:cs="仿宋_GB2312"/>
          <w:kern w:val="2"/>
          <w:sz w:val="32"/>
          <w:szCs w:val="32"/>
          <w:lang w:val="en-US" w:eastAsia="zh-CN"/>
        </w:rPr>
        <w:t>3、桓仁满族自治县计量检定测试所</w:t>
      </w:r>
      <w:r>
        <w:rPr>
          <w:rFonts w:hint="eastAsia" w:ascii="宋体" w:hAnsi="宋体" w:eastAsia="宋体" w:cs="宋体"/>
          <w:b/>
          <w:bCs w:val="0"/>
          <w:kern w:val="2"/>
          <w:sz w:val="36"/>
          <w:szCs w:val="36"/>
          <w:lang w:val="en-US" w:eastAsia="zh-CN"/>
        </w:rPr>
        <w:t xml:space="preserve">                                           </w:t>
      </w:r>
    </w:p>
    <w:p>
      <w:pPr>
        <w:widowControl w:val="0"/>
        <w:spacing w:before="0" w:beforeAutospacing="0" w:after="0" w:afterAutospacing="0"/>
        <w:ind w:left="640" w:right="0"/>
        <w:jc w:val="left"/>
        <w:rPr>
          <w:rFonts w:hint="eastAsia" w:ascii="仿宋_GB2312" w:hAnsi="Times New Roman" w:eastAsia="仿宋_GB2312" w:cs="仿宋_GB2312"/>
          <w:kern w:val="2"/>
          <w:sz w:val="32"/>
          <w:szCs w:val="32"/>
          <w:lang w:val="en-US" w:eastAsia="zh-CN"/>
        </w:rPr>
      </w:pPr>
      <w:r>
        <w:rPr>
          <w:rFonts w:hint="eastAsia" w:ascii="仿宋_GB2312" w:hAnsi="Times New Roman" w:eastAsia="仿宋_GB2312" w:cs="仿宋_GB2312"/>
          <w:kern w:val="2"/>
          <w:sz w:val="32"/>
          <w:szCs w:val="32"/>
          <w:lang w:val="en-US" w:eastAsia="zh-CN"/>
        </w:rPr>
        <w:t>4、桓仁满族自治县产品质量监督检验所</w:t>
      </w:r>
    </w:p>
    <w:p>
      <w:pPr>
        <w:widowControl w:val="0"/>
        <w:spacing w:before="0" w:beforeAutospacing="0" w:after="0" w:afterAutospacing="0"/>
        <w:ind w:left="640" w:right="0"/>
        <w:jc w:val="left"/>
        <w:rPr>
          <w:rFonts w:hint="eastAsia" w:ascii="仿宋_GB2312" w:hAnsi="Times New Roman" w:eastAsia="仿宋_GB2312" w:cs="仿宋_GB2312"/>
          <w:kern w:val="2"/>
          <w:sz w:val="32"/>
          <w:szCs w:val="32"/>
          <w:lang w:val="en-US" w:eastAsia="zh-CN"/>
        </w:rPr>
      </w:pPr>
      <w:r>
        <w:rPr>
          <w:rFonts w:hint="eastAsia" w:ascii="仿宋_GB2312" w:hAnsi="Times New Roman" w:eastAsia="仿宋_GB2312" w:cs="仿宋_GB2312"/>
          <w:kern w:val="2"/>
          <w:sz w:val="32"/>
          <w:szCs w:val="32"/>
          <w:lang w:val="en-US" w:eastAsia="zh-CN"/>
        </w:rPr>
        <w:t>5、桓仁满族自治县衡器所</w:t>
      </w:r>
    </w:p>
    <w:p>
      <w:pPr>
        <w:widowControl w:val="0"/>
        <w:spacing w:before="0" w:beforeAutospacing="0" w:after="0" w:afterAutospacing="0"/>
        <w:ind w:left="0" w:right="0"/>
        <w:jc w:val="center"/>
        <w:rPr>
          <w:rFonts w:hint="eastAsia" w:ascii="宋体" w:hAnsi="宋体" w:eastAsia="宋体" w:cs="宋体"/>
          <w:b/>
          <w:bCs w:val="0"/>
          <w:sz w:val="36"/>
          <w:szCs w:val="36"/>
          <w:lang w:val="en-US"/>
        </w:rPr>
      </w:pPr>
      <w:r>
        <w:rPr>
          <w:rFonts w:hint="eastAsia" w:ascii="仿宋_GB2312" w:hAnsi="Times New Roman" w:eastAsia="仿宋_GB2312" w:cs="仿宋_GB2312"/>
          <w:kern w:val="2"/>
          <w:sz w:val="32"/>
          <w:szCs w:val="32"/>
          <w:lang w:val="en-US" w:eastAsia="zh-CN"/>
        </w:rPr>
        <w:t xml:space="preserve">   </w:t>
      </w:r>
    </w:p>
    <w:p>
      <w:pPr>
        <w:widowControl w:val="0"/>
        <w:tabs>
          <w:tab w:val="left" w:pos="240"/>
          <w:tab w:val="center" w:pos="4153"/>
        </w:tabs>
        <w:spacing w:before="0" w:beforeAutospacing="0" w:after="0" w:afterAutospacing="0"/>
        <w:ind w:left="0" w:right="0"/>
        <w:jc w:val="center"/>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rPr>
        <w:t>第二部分 桓仁满族自治县市场监督管理局部门预算公开表</w:t>
      </w:r>
    </w:p>
    <w:p>
      <w:pPr>
        <w:widowControl w:val="0"/>
        <w:spacing w:before="0" w:beforeAutospacing="0" w:after="0" w:afterAutospacing="0"/>
        <w:ind w:left="0" w:right="0"/>
        <w:jc w:val="both"/>
        <w:rPr>
          <w:rFonts w:hint="eastAsia" w:ascii="宋体" w:hAnsi="宋体" w:eastAsia="宋体" w:cs="宋体"/>
          <w:b/>
          <w:bCs w:val="0"/>
          <w:sz w:val="20"/>
          <w:szCs w:val="20"/>
          <w:lang w:val="en-US"/>
        </w:rPr>
      </w:pPr>
    </w:p>
    <w:p>
      <w:pPr>
        <w:widowControl w:val="0"/>
        <w:spacing w:before="0" w:beforeAutospacing="0" w:after="0" w:afterAutospacing="0"/>
        <w:ind w:left="0" w:right="0"/>
        <w:jc w:val="center"/>
        <w:rPr>
          <w:rFonts w:hint="eastAsia" w:ascii="宋体" w:hAnsi="宋体" w:eastAsia="宋体" w:cs="宋体"/>
          <w:b/>
          <w:bCs w:val="0"/>
          <w:sz w:val="36"/>
          <w:szCs w:val="36"/>
          <w:lang w:val="en-US"/>
        </w:rPr>
      </w:pPr>
      <w:r>
        <w:rPr>
          <w:rFonts w:hint="eastAsia" w:ascii="宋体" w:hAnsi="宋体" w:eastAsia="宋体" w:cs="宋体"/>
          <w:b/>
          <w:bCs w:val="0"/>
          <w:kern w:val="2"/>
          <w:sz w:val="36"/>
          <w:szCs w:val="36"/>
          <w:lang w:val="en-US" w:eastAsia="zh-CN" w:bidi="ar-SA"/>
        </w:rPr>
        <w:object>
          <v:shape id="_x0000_i1025" o:spt="75" type="#_x0000_t75" style="height:65.9pt;width:72pt;" o:ole="t" fillcolor="#FFFFFF" filled="f" o:preferrelative="t" stroked="f" coordsize="21600,21600">
            <v:path/>
            <v:fill on="f" color2="#FFFFFF" focussize="0,0"/>
            <v:stroke on="f"/>
            <v:imagedata r:id="rId5" gain="65536f" blacklevel="0f" gamma="0" o:title=""/>
            <o:lock v:ext="edit" position="f" selection="f" grouping="f" rotation="f" cropping="f" text="f" aspectratio="t"/>
            <w10:wrap type="none"/>
            <w10:anchorlock/>
          </v:shape>
          <o:OLEObject Type="Embed" ProgID="Excel.Sheet.8" ShapeID="_x0000_i1025" DrawAspect="Icon" ObjectID="_1468075725" r:id="rId4">
            <o:LockedField>false</o:LockedField>
          </o:OLEObject>
        </w:object>
      </w:r>
    </w:p>
    <w:p>
      <w:pPr>
        <w:widowControl w:val="0"/>
        <w:spacing w:before="0" w:beforeAutospacing="0" w:after="0" w:afterAutospacing="0"/>
        <w:ind w:left="0" w:right="0"/>
        <w:jc w:val="center"/>
        <w:rPr>
          <w:rFonts w:hint="eastAsia" w:ascii="宋体" w:hAnsi="宋体" w:eastAsia="宋体" w:cs="宋体"/>
          <w:b/>
          <w:bCs w:val="0"/>
          <w:sz w:val="36"/>
          <w:szCs w:val="36"/>
          <w:lang w:val="en-US"/>
        </w:rPr>
      </w:pPr>
      <w:r>
        <w:rPr>
          <w:rFonts w:hint="eastAsia" w:ascii="宋体" w:hAnsi="宋体" w:eastAsia="宋体" w:cs="宋体"/>
          <w:b/>
          <w:bCs w:val="0"/>
          <w:kern w:val="2"/>
          <w:sz w:val="32"/>
          <w:szCs w:val="32"/>
          <w:lang w:val="en-US" w:eastAsia="zh-CN"/>
        </w:rPr>
        <w:t>第三部分 桓仁满族自治县</w:t>
      </w:r>
      <w:r>
        <w:rPr>
          <w:rFonts w:hint="eastAsia" w:ascii="黑体" w:hAnsi="宋体" w:eastAsia="黑体" w:cs="黑体"/>
          <w:kern w:val="2"/>
          <w:sz w:val="32"/>
          <w:szCs w:val="32"/>
          <w:lang w:val="en-US" w:eastAsia="zh-CN"/>
        </w:rPr>
        <w:t>市场监督管理局</w:t>
      </w:r>
      <w:r>
        <w:rPr>
          <w:rFonts w:hint="eastAsia" w:ascii="宋体" w:hAnsi="宋体" w:eastAsia="宋体" w:cs="宋体"/>
          <w:b/>
          <w:bCs w:val="0"/>
          <w:kern w:val="2"/>
          <w:sz w:val="32"/>
          <w:szCs w:val="32"/>
          <w:lang w:val="en-US" w:eastAsia="zh-CN"/>
        </w:rPr>
        <w:t>2018年部门预算情况说明</w:t>
      </w:r>
    </w:p>
    <w:p>
      <w:pPr>
        <w:widowControl w:val="0"/>
        <w:spacing w:before="0" w:beforeAutospacing="0" w:after="0" w:afterAutospacing="0"/>
        <w:ind w:left="0" w:right="0" w:firstLine="627" w:firstLineChars="196"/>
        <w:jc w:val="both"/>
        <w:rPr>
          <w:rFonts w:hint="eastAsia" w:ascii="黑体" w:hAnsi="宋体" w:eastAsia="黑体" w:cs="黑体"/>
          <w:sz w:val="32"/>
          <w:szCs w:val="32"/>
          <w:lang w:val="en-US"/>
        </w:rPr>
      </w:pPr>
      <w:r>
        <w:rPr>
          <w:rFonts w:hint="eastAsia" w:ascii="黑体" w:hAnsi="宋体" w:eastAsia="黑体" w:cs="黑体"/>
          <w:kern w:val="2"/>
          <w:sz w:val="32"/>
          <w:szCs w:val="32"/>
          <w:lang w:val="en-US" w:eastAsia="zh-CN"/>
        </w:rPr>
        <w:t>一、关于桓仁满族自治县市场监督管理局2018年收支预算的总体说明</w:t>
      </w:r>
    </w:p>
    <w:p>
      <w:pPr>
        <w:widowControl w:val="0"/>
        <w:spacing w:before="0" w:beforeAutospacing="0" w:after="0" w:afterAutospacing="0"/>
        <w:ind w:left="0" w:right="0" w:firstLine="640" w:firstLineChars="200"/>
        <w:jc w:val="both"/>
        <w:rPr>
          <w:rFonts w:hint="eastAsia" w:ascii="仿宋_GB2312" w:hAnsi="宋体" w:eastAsia="仿宋_GB2312" w:cs="仿宋_GB2312"/>
          <w:sz w:val="32"/>
          <w:szCs w:val="32"/>
          <w:lang w:val="en-US"/>
        </w:rPr>
      </w:pPr>
      <w:r>
        <w:rPr>
          <w:rFonts w:hint="eastAsia" w:ascii="仿宋_GB2312" w:hAnsi="仿宋_GB2312" w:eastAsia="仿宋_GB2312" w:cs="仿宋_GB2312"/>
          <w:kern w:val="2"/>
          <w:sz w:val="32"/>
          <w:szCs w:val="32"/>
          <w:lang w:val="en-US" w:eastAsia="zh-CN"/>
        </w:rPr>
        <w:t>按照综合预算的原则，桓仁满族自治县市场监督管理局所有收入和支出均纳入部门预算管理。收入包括：财政拨款收入、纳入预算管理的行政事业性收费等非税收入；支出包括：一般公共服务支出、工商行政管理事务、质量技术监督与检验检疫事务、社会保障和就业支出、医疗卫生与计划生育支出、食品和药品监督管理事务、住房保障支出等。桓仁满族自治县市场监督管理局2018年收支总预算1572.02万元，比2017年预算数减少121.53万元，主要原因是退休人员工资纳入社会保险发放。</w:t>
      </w:r>
    </w:p>
    <w:p>
      <w:pPr>
        <w:widowControl w:val="0"/>
        <w:spacing w:before="0" w:beforeAutospacing="0" w:after="0" w:afterAutospacing="0"/>
        <w:ind w:left="0" w:right="0" w:firstLine="660"/>
        <w:jc w:val="both"/>
        <w:rPr>
          <w:rFonts w:hint="eastAsia" w:ascii="黑体" w:hAnsi="宋体" w:eastAsia="黑体" w:cs="黑体"/>
          <w:sz w:val="32"/>
          <w:szCs w:val="32"/>
          <w:lang w:val="en-US"/>
        </w:rPr>
      </w:pPr>
      <w:r>
        <w:rPr>
          <w:rFonts w:hint="eastAsia" w:ascii="黑体" w:hAnsi="宋体" w:eastAsia="黑体" w:cs="黑体"/>
          <w:kern w:val="2"/>
          <w:sz w:val="32"/>
          <w:szCs w:val="32"/>
          <w:lang w:val="en-US" w:eastAsia="zh-CN"/>
        </w:rPr>
        <w:t>二、关于桓仁满族自治县市场监督管理局2018年“三公”经费预算情况说明</w:t>
      </w:r>
    </w:p>
    <w:p>
      <w:pPr>
        <w:widowControl w:val="0"/>
        <w:spacing w:before="0" w:beforeAutospacing="0" w:after="0" w:afterAutospacing="0"/>
        <w:ind w:left="0" w:right="0" w:firstLine="645"/>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2018年“三公”经费预算数124万元，其中：</w:t>
      </w:r>
      <w:r>
        <w:rPr>
          <w:rFonts w:hint="eastAsia" w:ascii="仿宋_GB2312" w:hAnsi="宋体" w:eastAsia="仿宋_GB2312"/>
          <w:sz w:val="32"/>
          <w:szCs w:val="32"/>
        </w:rPr>
        <w:t>因公出国(境)经费</w:t>
      </w:r>
      <w:r>
        <w:rPr>
          <w:rFonts w:hint="eastAsia" w:ascii="仿宋_GB2312" w:hAnsi="宋体" w:eastAsia="仿宋_GB2312"/>
          <w:sz w:val="32"/>
          <w:szCs w:val="32"/>
          <w:lang w:val="en-US" w:eastAsia="zh-CN"/>
        </w:rPr>
        <w:t>0万元；</w:t>
      </w:r>
      <w:r>
        <w:rPr>
          <w:rFonts w:hint="eastAsia" w:ascii="仿宋_GB2312" w:hAnsi="宋体" w:eastAsia="仿宋_GB2312" w:cs="仿宋_GB2312"/>
          <w:kern w:val="2"/>
          <w:sz w:val="32"/>
          <w:szCs w:val="32"/>
          <w:lang w:val="en-US" w:eastAsia="zh-CN"/>
        </w:rPr>
        <w:t>公务接待费1万元；公务用车购置及运行费123万元</w:t>
      </w:r>
      <w:r>
        <w:rPr>
          <w:rFonts w:hint="eastAsia" w:ascii="仿宋_GB2312" w:hAnsi="宋体" w:eastAsia="仿宋_GB2312"/>
          <w:sz w:val="32"/>
        </w:rPr>
        <w:t>（其中：公务用车运行维护费</w:t>
      </w:r>
      <w:r>
        <w:rPr>
          <w:rFonts w:hint="eastAsia" w:ascii="仿宋_GB2312" w:hAnsi="宋体" w:eastAsia="仿宋_GB2312"/>
          <w:sz w:val="32"/>
          <w:lang w:val="en-US" w:eastAsia="zh-CN"/>
        </w:rPr>
        <w:t>123</w:t>
      </w:r>
      <w:r>
        <w:rPr>
          <w:rFonts w:hint="eastAsia" w:ascii="仿宋_GB2312" w:hAnsi="宋体" w:eastAsia="仿宋_GB2312"/>
          <w:sz w:val="32"/>
        </w:rPr>
        <w:t>万元、公务用车购置费</w:t>
      </w:r>
      <w:r>
        <w:rPr>
          <w:rFonts w:hint="eastAsia" w:ascii="仿宋_GB2312" w:hAnsi="宋体" w:eastAsia="仿宋_GB2312"/>
          <w:sz w:val="32"/>
          <w:lang w:val="en-US" w:eastAsia="zh-CN"/>
        </w:rPr>
        <w:t>0</w:t>
      </w:r>
      <w:r>
        <w:rPr>
          <w:rFonts w:hint="eastAsia" w:ascii="仿宋_GB2312" w:hAnsi="宋体" w:eastAsia="仿宋_GB2312"/>
          <w:sz w:val="32"/>
        </w:rPr>
        <w:t>万元）</w:t>
      </w:r>
      <w:r>
        <w:rPr>
          <w:rFonts w:hint="eastAsia" w:ascii="仿宋_GB2312" w:hAnsi="宋体" w:eastAsia="仿宋_GB2312" w:cs="仿宋_GB2312"/>
          <w:kern w:val="2"/>
          <w:sz w:val="32"/>
          <w:szCs w:val="32"/>
          <w:lang w:val="en-US" w:eastAsia="zh-CN"/>
        </w:rPr>
        <w:t>。比2017年预算增加58万元，增加变化原因是：1是公务接待费压减1万元，2是由于2018年公务用车数量增加及车辆运行维护费补助标准提高，增加公务用车运行维护费59万元。</w:t>
      </w:r>
    </w:p>
    <w:p>
      <w:pPr>
        <w:widowControl w:val="0"/>
        <w:spacing w:before="0" w:beforeAutospacing="0" w:after="0" w:afterAutospacing="0"/>
        <w:ind w:left="0" w:right="0" w:firstLine="660"/>
        <w:jc w:val="both"/>
        <w:rPr>
          <w:rFonts w:hint="eastAsia" w:ascii="黑体" w:hAnsi="宋体" w:eastAsia="黑体" w:cs="黑体"/>
          <w:sz w:val="32"/>
          <w:szCs w:val="32"/>
          <w:lang w:val="en-US"/>
        </w:rPr>
      </w:pPr>
      <w:r>
        <w:rPr>
          <w:rFonts w:hint="eastAsia" w:ascii="仿宋_GB2312" w:hAnsi="宋体" w:eastAsia="仿宋_GB2312" w:cs="仿宋_GB2312"/>
          <w:b/>
          <w:bCs w:val="0"/>
          <w:kern w:val="2"/>
          <w:sz w:val="32"/>
          <w:szCs w:val="32"/>
          <w:lang w:val="en-US" w:eastAsia="zh-CN"/>
        </w:rPr>
        <w:t>三</w:t>
      </w:r>
      <w:r>
        <w:rPr>
          <w:rFonts w:hint="eastAsia" w:ascii="仿宋_GB2312" w:hAnsi="宋体" w:eastAsia="仿宋_GB2312" w:cs="仿宋_GB2312"/>
          <w:kern w:val="2"/>
          <w:sz w:val="32"/>
          <w:szCs w:val="32"/>
          <w:lang w:val="en-US" w:eastAsia="zh-CN"/>
        </w:rPr>
        <w:t>、</w:t>
      </w:r>
      <w:r>
        <w:rPr>
          <w:rFonts w:hint="eastAsia" w:ascii="黑体" w:hAnsi="宋体" w:eastAsia="黑体" w:cs="黑体"/>
          <w:kern w:val="2"/>
          <w:sz w:val="32"/>
          <w:szCs w:val="32"/>
          <w:lang w:val="en-US" w:eastAsia="zh-CN"/>
        </w:rPr>
        <w:t>关于桓仁满族自治县市场监督管理局2018年政府性基金预算支出情况</w:t>
      </w:r>
    </w:p>
    <w:p>
      <w:pPr>
        <w:widowControl w:val="0"/>
        <w:spacing w:before="0" w:beforeAutospacing="0" w:after="0" w:afterAutospacing="0"/>
        <w:ind w:left="0" w:right="0" w:firstLine="640" w:firstLineChars="200"/>
        <w:jc w:val="both"/>
        <w:rPr>
          <w:rFonts w:hint="eastAsia" w:ascii="仿宋_GB2312" w:hAnsi="宋体" w:eastAsia="仿宋_GB2312" w:cs="仿宋_GB2312"/>
          <w:sz w:val="32"/>
          <w:szCs w:val="32"/>
          <w:lang w:val="en-US"/>
        </w:rPr>
      </w:pPr>
      <w:r>
        <w:rPr>
          <w:rFonts w:hint="eastAsia" w:ascii="仿宋_GB2312" w:hAnsi="仿宋_GB2312" w:eastAsia="仿宋_GB2312" w:cs="仿宋_GB2312"/>
          <w:kern w:val="2"/>
          <w:sz w:val="32"/>
          <w:szCs w:val="32"/>
          <w:lang w:val="en-US" w:eastAsia="zh-CN"/>
        </w:rPr>
        <w:t>桓仁满族自治县市场监督管理局2018年没有使用政府性基金预算拨款安排的支出。</w:t>
      </w:r>
    </w:p>
    <w:p>
      <w:pPr>
        <w:widowControl w:val="0"/>
        <w:spacing w:before="0" w:beforeAutospacing="0" w:after="0" w:afterAutospacing="0"/>
        <w:ind w:left="0" w:right="0" w:firstLine="640" w:firstLineChars="200"/>
        <w:jc w:val="both"/>
        <w:rPr>
          <w:rFonts w:hint="eastAsia" w:ascii="黑体" w:hAnsi="宋体" w:eastAsia="黑体" w:cs="黑体"/>
          <w:sz w:val="32"/>
          <w:szCs w:val="32"/>
          <w:lang w:val="en-US"/>
        </w:rPr>
      </w:pPr>
      <w:r>
        <w:rPr>
          <w:rFonts w:hint="eastAsia" w:ascii="黑体" w:hAnsi="宋体" w:eastAsia="黑体" w:cs="黑体"/>
          <w:kern w:val="2"/>
          <w:sz w:val="32"/>
          <w:szCs w:val="32"/>
          <w:lang w:val="en-US" w:eastAsia="zh-CN"/>
        </w:rPr>
        <w:t>四、其他重要事项的情况说明</w:t>
      </w:r>
    </w:p>
    <w:p>
      <w:pPr>
        <w:widowControl w:val="0"/>
        <w:spacing w:before="0" w:beforeAutospacing="0" w:after="0" w:afterAutospacing="0"/>
        <w:ind w:left="0" w:right="0" w:firstLine="645"/>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（一）机关运行经费支出情况</w:t>
      </w:r>
    </w:p>
    <w:p>
      <w:pPr>
        <w:widowControl w:val="0"/>
        <w:spacing w:before="0" w:beforeAutospacing="0" w:after="0" w:afterAutospacing="0"/>
        <w:ind w:left="0" w:right="0" w:firstLine="64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2018年市场监督管理局机关运行经费支出 231.84万元，比2017年增加31.52 万元，增加16%，主要原因是公务用车运行费增加。</w:t>
      </w:r>
    </w:p>
    <w:p>
      <w:pPr>
        <w:widowControl w:val="0"/>
        <w:spacing w:before="0" w:beforeAutospacing="0" w:after="0" w:afterAutospacing="0"/>
        <w:ind w:left="0" w:right="0" w:firstLine="645"/>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（二）政府采购支出情况</w:t>
      </w:r>
    </w:p>
    <w:p>
      <w:pPr>
        <w:widowControl w:val="0"/>
        <w:spacing w:before="0" w:beforeAutospacing="0" w:after="0" w:afterAutospacing="0"/>
        <w:ind w:left="0" w:right="0" w:firstLine="64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2018年市场监督管理局政府采购支出总额 163.60 万元，其中：政府采购货物支出 52万元，政府采购服务支出 111.60 万元，政府采购工程支出 0 万元。</w:t>
      </w:r>
    </w:p>
    <w:p>
      <w:pPr>
        <w:widowControl w:val="0"/>
        <w:spacing w:before="0" w:beforeAutospacing="0" w:after="0" w:afterAutospacing="0"/>
        <w:ind w:left="0" w:right="0" w:firstLine="645"/>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（三）国有资产占用情况</w:t>
      </w:r>
    </w:p>
    <w:p>
      <w:pPr>
        <w:widowControl w:val="0"/>
        <w:spacing w:before="0" w:beforeAutospacing="0" w:after="0" w:afterAutospacing="0"/>
        <w:ind w:left="0" w:right="0" w:firstLine="645"/>
        <w:jc w:val="both"/>
        <w:rPr>
          <w:rFonts w:hint="eastAsia" w:ascii="仿宋_GB2312" w:hAnsi="宋体" w:eastAsia="仿宋_GB2312" w:cs="仿宋_GB2312"/>
          <w:sz w:val="32"/>
          <w:szCs w:val="32"/>
          <w:lang w:val="en-US"/>
        </w:rPr>
      </w:pPr>
      <w:r>
        <w:rPr>
          <w:rFonts w:hint="eastAsia" w:ascii="仿宋_GB2312" w:hAnsi="仿宋_GB2312" w:eastAsia="仿宋_GB2312" w:cs="仿宋_GB2312"/>
          <w:kern w:val="2"/>
          <w:sz w:val="32"/>
          <w:szCs w:val="32"/>
          <w:lang w:val="en-US" w:eastAsia="zh-CN"/>
        </w:rPr>
        <w:t>截至2017年12月31日，市场监督管理局共有车辆 21 辆，其中：一般公务用车 2</w:t>
      </w:r>
      <w:r>
        <w:rPr>
          <w:rFonts w:hint="eastAsia" w:ascii="仿宋_GB2312" w:hAnsi="宋体" w:eastAsia="仿宋_GB2312" w:cs="仿宋_GB2312"/>
          <w:kern w:val="2"/>
          <w:sz w:val="32"/>
          <w:szCs w:val="32"/>
          <w:lang w:val="en-US" w:eastAsia="zh-CN"/>
        </w:rPr>
        <w:t>1 辆。</w:t>
      </w:r>
    </w:p>
    <w:p>
      <w:pPr>
        <w:widowControl w:val="0"/>
        <w:spacing w:before="0" w:beforeAutospacing="0" w:after="0" w:afterAutospacing="0"/>
        <w:ind w:left="0" w:right="0" w:firstLine="645"/>
        <w:jc w:val="both"/>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rPr>
        <w:t>（四）预算绩效情况</w:t>
      </w:r>
    </w:p>
    <w:p>
      <w:pPr>
        <w:widowControl w:val="0"/>
        <w:spacing w:before="0" w:beforeAutospacing="0" w:after="0" w:afterAutospacing="0"/>
        <w:ind w:left="0" w:right="0" w:firstLine="645"/>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rPr>
        <w:t>2018年市场监督管理局实行部门预算绩效目标管理的项目0个，涉及一般公共预算拨款0 万元。</w:t>
      </w:r>
    </w:p>
    <w:p>
      <w:pPr>
        <w:widowControl w:val="0"/>
        <w:spacing w:before="0" w:beforeAutospacing="0" w:after="0" w:afterAutospacing="0"/>
        <w:ind w:left="0" w:right="0"/>
        <w:jc w:val="center"/>
        <w:rPr>
          <w:rFonts w:hint="eastAsia" w:ascii="宋体" w:hAnsi="宋体" w:eastAsia="宋体" w:cs="宋体"/>
          <w:b/>
          <w:bCs w:val="0"/>
          <w:sz w:val="36"/>
          <w:szCs w:val="36"/>
          <w:lang w:val="en-US"/>
        </w:rPr>
      </w:pPr>
      <w:r>
        <w:rPr>
          <w:rFonts w:hint="eastAsia" w:ascii="宋体" w:hAnsi="宋体" w:eastAsia="宋体" w:cs="宋体"/>
          <w:b/>
          <w:bCs w:val="0"/>
          <w:kern w:val="2"/>
          <w:sz w:val="36"/>
          <w:szCs w:val="36"/>
          <w:lang w:val="en-US" w:eastAsia="zh-CN"/>
        </w:rPr>
        <w:t>第四部分 名词解释</w:t>
      </w:r>
    </w:p>
    <w:p>
      <w:pPr>
        <w:widowControl w:val="0"/>
        <w:spacing w:before="0" w:beforeAutospacing="0" w:after="0" w:afterAutospacing="0"/>
        <w:ind w:left="0" w:right="0" w:firstLine="643" w:firstLineChars="200"/>
        <w:jc w:val="left"/>
        <w:rPr>
          <w:rFonts w:hint="eastAsia" w:ascii="仿宋_GB2312" w:eastAsia="仿宋_GB2312" w:cs="仿宋_GB2312"/>
          <w:sz w:val="32"/>
          <w:szCs w:val="32"/>
          <w:lang w:val="en-US"/>
        </w:rPr>
      </w:pPr>
      <w:r>
        <w:rPr>
          <w:rFonts w:hint="eastAsia" w:ascii="仿宋_GB2312" w:hAnsi="Times New Roman" w:eastAsia="仿宋_GB2312" w:cs="仿宋_GB2312"/>
          <w:b/>
          <w:bCs w:val="0"/>
          <w:kern w:val="2"/>
          <w:sz w:val="32"/>
          <w:szCs w:val="32"/>
          <w:lang w:val="en-US" w:eastAsia="zh-CN"/>
        </w:rPr>
        <w:t>1.财政拨款收入：</w:t>
      </w:r>
      <w:r>
        <w:rPr>
          <w:rFonts w:hint="eastAsia" w:ascii="仿宋_GB2312" w:hAnsi="Times New Roman" w:eastAsia="仿宋_GB2312" w:cs="仿宋_GB2312"/>
          <w:kern w:val="2"/>
          <w:sz w:val="32"/>
          <w:szCs w:val="32"/>
          <w:lang w:val="en-US" w:eastAsia="zh-CN"/>
        </w:rPr>
        <w:t>指县级财政当年拨付的资金。</w:t>
      </w:r>
    </w:p>
    <w:p>
      <w:pPr>
        <w:widowControl w:val="0"/>
        <w:spacing w:before="0" w:beforeAutospacing="0" w:after="0" w:afterAutospacing="0"/>
        <w:ind w:left="0" w:right="0" w:firstLine="643" w:firstLineChars="200"/>
        <w:jc w:val="left"/>
        <w:rPr>
          <w:rFonts w:hint="eastAsia" w:ascii="仿宋_GB2312" w:eastAsia="仿宋_GB2312" w:cs="仿宋_GB2312"/>
          <w:b/>
          <w:bCs w:val="0"/>
          <w:sz w:val="32"/>
          <w:szCs w:val="32"/>
          <w:lang w:val="en-US"/>
        </w:rPr>
      </w:pPr>
      <w:r>
        <w:rPr>
          <w:rFonts w:hint="eastAsia" w:ascii="仿宋_GB2312" w:hAnsi="Times New Roman" w:eastAsia="仿宋_GB2312" w:cs="仿宋_GB2312"/>
          <w:b/>
          <w:bCs w:val="0"/>
          <w:kern w:val="2"/>
          <w:sz w:val="32"/>
          <w:szCs w:val="32"/>
          <w:lang w:val="en-US" w:eastAsia="zh-CN"/>
        </w:rPr>
        <w:t>2.行政事业性收费收入：</w:t>
      </w:r>
      <w:r>
        <w:rPr>
          <w:rFonts w:hint="eastAsia" w:ascii="仿宋_GB2312" w:hAnsi="Times New Roman" w:eastAsia="仿宋_GB2312" w:cs="仿宋_GB2312"/>
          <w:kern w:val="2"/>
          <w:sz w:val="32"/>
          <w:szCs w:val="32"/>
          <w:lang w:val="en-US" w:eastAsia="zh-CN"/>
        </w:rPr>
        <w:t>指依据法律、行政法规、国务院有关规定、国务院财政部门会同价格主管部门共同发布的规章或者规定，县、自治区、直辖市人民政府财政部门会同价格主管部门共同发布的规定所收取的各项收费收入。</w:t>
      </w:r>
    </w:p>
    <w:p>
      <w:pPr>
        <w:widowControl w:val="0"/>
        <w:spacing w:before="0" w:beforeAutospacing="0" w:after="0" w:afterAutospacing="0"/>
        <w:ind w:left="0" w:right="0" w:firstLine="643" w:firstLineChars="200"/>
        <w:jc w:val="left"/>
        <w:rPr>
          <w:rFonts w:hint="eastAsia" w:ascii="仿宋_GB2312" w:eastAsia="仿宋_GB2312" w:cs="仿宋_GB2312"/>
          <w:b/>
          <w:bCs w:val="0"/>
          <w:sz w:val="32"/>
          <w:szCs w:val="32"/>
          <w:lang w:val="en-US"/>
        </w:rPr>
      </w:pPr>
      <w:r>
        <w:rPr>
          <w:rFonts w:hint="eastAsia" w:ascii="仿宋_GB2312" w:hAnsi="Times New Roman" w:eastAsia="仿宋_GB2312" w:cs="仿宋_GB2312"/>
          <w:b/>
          <w:bCs w:val="0"/>
          <w:kern w:val="2"/>
          <w:sz w:val="32"/>
          <w:szCs w:val="32"/>
          <w:lang w:val="en-US" w:eastAsia="zh-CN"/>
        </w:rPr>
        <w:t>3.政府性基金收入：</w:t>
      </w:r>
      <w:r>
        <w:rPr>
          <w:rFonts w:hint="eastAsia" w:ascii="仿宋_GB2312" w:hAnsi="Times New Roman" w:eastAsia="仿宋_GB2312" w:cs="仿宋_GB2312"/>
          <w:kern w:val="2"/>
          <w:sz w:val="32"/>
          <w:szCs w:val="32"/>
          <w:lang w:val="en-US" w:eastAsia="zh-CN"/>
        </w:rPr>
        <w:t>反应各级政府及其所属部门根据法律、行政法规规定并经国务院或财政部批准，向公民、法人和其他组织征收的政府性基金，以及参照政府性基金管理或纳入基金预算、具有特定用途的财政资金。</w:t>
      </w:r>
    </w:p>
    <w:p>
      <w:pPr>
        <w:widowControl w:val="0"/>
        <w:spacing w:before="0" w:beforeAutospacing="0" w:after="0" w:afterAutospacing="0"/>
        <w:ind w:left="0" w:right="0" w:firstLine="643" w:firstLineChars="200"/>
        <w:jc w:val="left"/>
        <w:rPr>
          <w:rFonts w:hint="eastAsia" w:ascii="仿宋_GB2312" w:eastAsia="仿宋_GB2312" w:cs="仿宋_GB2312"/>
          <w:sz w:val="32"/>
          <w:szCs w:val="32"/>
          <w:lang w:val="en-US"/>
        </w:rPr>
      </w:pPr>
      <w:r>
        <w:rPr>
          <w:rFonts w:hint="eastAsia" w:ascii="仿宋_GB2312" w:hAnsi="Times New Roman" w:eastAsia="仿宋_GB2312" w:cs="仿宋_GB2312"/>
          <w:b/>
          <w:bCs w:val="0"/>
          <w:kern w:val="2"/>
          <w:sz w:val="32"/>
          <w:szCs w:val="32"/>
          <w:lang w:val="en-US" w:eastAsia="zh-CN"/>
        </w:rPr>
        <w:t>4.其他收入：</w:t>
      </w:r>
      <w:r>
        <w:rPr>
          <w:rFonts w:hint="eastAsia" w:ascii="仿宋_GB2312" w:hAnsi="Times New Roman" w:eastAsia="仿宋_GB2312" w:cs="仿宋_GB2312"/>
          <w:kern w:val="2"/>
          <w:sz w:val="32"/>
          <w:szCs w:val="32"/>
          <w:lang w:val="en-US" w:eastAsia="zh-CN"/>
        </w:rPr>
        <w:t>指除上述“财政拨款收入”、“行政事业性收费收入”、“政府性基金收入”以外的收入。</w:t>
      </w:r>
    </w:p>
    <w:p>
      <w:pPr>
        <w:widowControl w:val="0"/>
        <w:spacing w:before="0" w:beforeAutospacing="0" w:after="0" w:afterAutospacing="0"/>
        <w:ind w:left="0" w:right="0" w:firstLine="643" w:firstLineChars="200"/>
        <w:jc w:val="left"/>
        <w:rPr>
          <w:rFonts w:hint="eastAsia" w:ascii="仿宋_GB2312" w:eastAsia="仿宋_GB2312" w:cs="仿宋_GB2312"/>
          <w:sz w:val="32"/>
          <w:szCs w:val="32"/>
          <w:lang w:val="en-US"/>
        </w:rPr>
      </w:pPr>
      <w:r>
        <w:rPr>
          <w:rFonts w:hint="eastAsia" w:ascii="仿宋_GB2312" w:hAnsi="Times New Roman" w:eastAsia="仿宋_GB2312" w:cs="仿宋_GB2312"/>
          <w:b/>
          <w:bCs w:val="0"/>
          <w:kern w:val="2"/>
          <w:sz w:val="32"/>
          <w:szCs w:val="32"/>
          <w:lang w:val="en-US" w:eastAsia="zh-CN"/>
        </w:rPr>
        <w:t>5.基本支出：</w:t>
      </w:r>
      <w:r>
        <w:rPr>
          <w:rFonts w:hint="eastAsia" w:ascii="仿宋_GB2312" w:hAnsi="Times New Roman" w:eastAsia="仿宋_GB2312" w:cs="仿宋_GB2312"/>
          <w:kern w:val="2"/>
          <w:sz w:val="32"/>
          <w:szCs w:val="32"/>
          <w:lang w:val="en-US" w:eastAsia="zh-CN"/>
        </w:rPr>
        <w:t>指保障机构正常运转、完成日常工作任务而发生的人员支出和公用支出。</w:t>
      </w:r>
    </w:p>
    <w:p>
      <w:pPr>
        <w:widowControl w:val="0"/>
        <w:spacing w:before="0" w:beforeAutospacing="0" w:after="0" w:afterAutospacing="0"/>
        <w:ind w:left="0" w:right="0" w:firstLine="643" w:firstLineChars="200"/>
        <w:jc w:val="left"/>
        <w:rPr>
          <w:rFonts w:hint="eastAsia" w:ascii="仿宋_GB2312" w:eastAsia="仿宋_GB2312" w:cs="仿宋_GB2312"/>
          <w:b/>
          <w:bCs w:val="0"/>
          <w:sz w:val="32"/>
          <w:szCs w:val="32"/>
          <w:lang w:val="en-US"/>
        </w:rPr>
      </w:pPr>
      <w:r>
        <w:rPr>
          <w:rFonts w:hint="eastAsia" w:ascii="仿宋_GB2312" w:hAnsi="Times New Roman" w:eastAsia="仿宋_GB2312" w:cs="仿宋_GB2312"/>
          <w:b/>
          <w:bCs w:val="0"/>
          <w:kern w:val="2"/>
          <w:sz w:val="32"/>
          <w:szCs w:val="32"/>
          <w:lang w:val="en-US" w:eastAsia="zh-CN"/>
        </w:rPr>
        <w:t>6.项目支出：</w:t>
      </w:r>
      <w:r>
        <w:rPr>
          <w:rFonts w:hint="eastAsia" w:ascii="仿宋_GB2312" w:hAnsi="Times New Roman" w:eastAsia="仿宋_GB2312" w:cs="仿宋_GB2312"/>
          <w:kern w:val="2"/>
          <w:sz w:val="32"/>
          <w:szCs w:val="32"/>
          <w:lang w:val="en-US" w:eastAsia="zh-CN"/>
        </w:rPr>
        <w:t>指在基本支出之外为完成特定行政任务和事业发展目标所发生的支出。</w:t>
      </w:r>
    </w:p>
    <w:p>
      <w:pPr>
        <w:widowControl w:val="0"/>
        <w:spacing w:before="0" w:beforeAutospacing="0" w:after="0" w:afterAutospacing="0"/>
        <w:ind w:left="0" w:right="0" w:firstLine="630" w:firstLineChars="196"/>
        <w:jc w:val="both"/>
        <w:rPr>
          <w:rFonts w:hint="eastAsia" w:ascii="仿宋_GB2312" w:eastAsia="仿宋_GB2312" w:cs="仿宋_GB2312"/>
          <w:b/>
          <w:bCs w:val="0"/>
          <w:sz w:val="32"/>
          <w:szCs w:val="32"/>
          <w:lang w:val="en-US"/>
        </w:rPr>
      </w:pPr>
      <w:r>
        <w:rPr>
          <w:rFonts w:hint="eastAsia" w:ascii="仿宋_GB2312" w:hAnsi="Times New Roman" w:eastAsia="仿宋_GB2312" w:cs="仿宋_GB2312"/>
          <w:b/>
          <w:kern w:val="2"/>
          <w:sz w:val="32"/>
          <w:szCs w:val="32"/>
          <w:lang w:val="en-US" w:eastAsia="zh-CN"/>
        </w:rPr>
        <w:t>7</w:t>
      </w:r>
      <w:r>
        <w:rPr>
          <w:rFonts w:hint="eastAsia" w:ascii="仿宋_GB2312" w:hAnsi="Times New Roman" w:eastAsia="仿宋_GB2312" w:cs="仿宋_GB2312"/>
          <w:kern w:val="2"/>
          <w:sz w:val="32"/>
          <w:szCs w:val="32"/>
          <w:lang w:val="en-US" w:eastAsia="zh-CN"/>
        </w:rPr>
        <w:t>.</w:t>
      </w:r>
      <w:r>
        <w:rPr>
          <w:rFonts w:hint="eastAsia" w:ascii="仿宋_GB2312" w:hAnsi="Times New Roman" w:eastAsia="仿宋_GB2312" w:cs="仿宋_GB2312"/>
          <w:b/>
          <w:kern w:val="2"/>
          <w:sz w:val="32"/>
          <w:szCs w:val="32"/>
          <w:lang w:val="en-US" w:eastAsia="zh-CN"/>
        </w:rPr>
        <w:t>机关运行经费支出</w:t>
      </w:r>
      <w:r>
        <w:rPr>
          <w:rFonts w:hint="eastAsia" w:ascii="仿宋_GB2312" w:hAnsi="Times New Roman" w:eastAsia="仿宋_GB2312" w:cs="仿宋_GB2312"/>
          <w:kern w:val="2"/>
          <w:sz w:val="32"/>
          <w:szCs w:val="32"/>
          <w:lang w:val="en-US" w:eastAsia="zh-CN"/>
        </w:rPr>
        <w:t>：</w:t>
      </w:r>
      <w:r>
        <w:rPr>
          <w:rFonts w:hint="eastAsia" w:ascii="仿宋_GB2312" w:hAnsi="仿宋" w:eastAsia="仿宋_GB2312" w:cs="宋体"/>
          <w:color w:val="000000"/>
          <w:kern w:val="0"/>
          <w:sz w:val="32"/>
          <w:szCs w:val="32"/>
          <w:lang w:val="en-US" w:eastAsia="zh-CN"/>
        </w:rPr>
        <w:t>是指各部门的公用经费，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CB53B"/>
    <w:multiLevelType w:val="multilevel"/>
    <w:tmpl w:val="5A3CB53B"/>
    <w:lvl w:ilvl="0" w:tentative="0">
      <w:start w:val="1"/>
      <w:numFmt w:val="japaneseCounting"/>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A3CB546"/>
    <w:multiLevelType w:val="multilevel"/>
    <w:tmpl w:val="5A3CB546"/>
    <w:lvl w:ilvl="0" w:tentative="0">
      <w:start w:val="1"/>
      <w:numFmt w:val="japaneseCounting"/>
      <w:lvlText w:val="%1、"/>
      <w:lvlJc w:val="left"/>
      <w:pPr>
        <w:tabs>
          <w:tab w:val="left" w:pos="720"/>
        </w:tabs>
        <w:ind w:left="720" w:hanging="720"/>
      </w:pPr>
    </w:lvl>
    <w:lvl w:ilvl="1" w:tentative="0">
      <w:start w:val="2"/>
      <w:numFmt w:val="japaneseCounting"/>
      <w:lvlText w:val="%2、"/>
      <w:lvlJc w:val="left"/>
      <w:pPr>
        <w:tabs>
          <w:tab w:val="left" w:pos="1140"/>
        </w:tabs>
        <w:ind w:left="1140" w:hanging="7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10E00B08"/>
    <w:rsid w:val="33BB3C52"/>
    <w:rsid w:val="40381D2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2017-12-22T07:31:00Z</dcterms:created>
  <dc:creator>Administrator</dc:creator>
  <cp:lastModifiedBy>桓仁土地征收中心公文员</cp:lastModifiedBy>
  <dcterms:modified xsi:type="dcterms:W3CDTF">2025-11-26T07:52:16Z</dcterms:modified>
  <dc:title>桓仁满族自治县市场监督管理局部门预算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