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1FEF1">
      <w:pPr>
        <w:keepNext w:val="0"/>
        <w:keepLines w:val="0"/>
        <w:pageBreakBefore w:val="0"/>
        <w:widowControl w:val="0"/>
        <w:kinsoku/>
        <w:wordWrap/>
        <w:overflowPunct/>
        <w:topLinePunct w:val="0"/>
        <w:autoSpaceDE/>
        <w:autoSpaceDN/>
        <w:bidi w:val="0"/>
        <w:adjustRightInd/>
        <w:snapToGrid/>
        <w:spacing w:before="313" w:beforeLines="100" w:line="560" w:lineRule="exact"/>
        <w:ind w:left="0" w:leftChars="0" w:right="0" w:rightChars="0" w:firstLine="0" w:firstLineChars="0"/>
        <w:jc w:val="left"/>
        <w:textAlignment w:val="auto"/>
        <w:outlineLvl w:val="9"/>
        <w:rPr>
          <w:rFonts w:hint="eastAsia" w:ascii="宋体" w:hAnsi="宋体" w:eastAsia="宋体" w:cs="宋体"/>
          <w:b/>
          <w:bCs/>
          <w:color w:val="auto"/>
          <w:spacing w:val="240"/>
          <w:w w:val="80"/>
          <w:sz w:val="84"/>
          <w:szCs w:val="84"/>
        </w:rPr>
      </w:pPr>
    </w:p>
    <w:p w14:paraId="36CE52CF">
      <w:pPr>
        <w:keepNext w:val="0"/>
        <w:keepLines w:val="0"/>
        <w:pageBreakBefore w:val="0"/>
        <w:widowControl w:val="0"/>
        <w:tabs>
          <w:tab w:val="left" w:pos="6520"/>
        </w:tabs>
        <w:kinsoku/>
        <w:wordWrap/>
        <w:overflowPunct/>
        <w:topLinePunct w:val="0"/>
        <w:autoSpaceDE/>
        <w:autoSpaceDN/>
        <w:bidi w:val="0"/>
        <w:adjustRightInd/>
        <w:snapToGrid/>
        <w:spacing w:before="313" w:beforeLines="100" w:line="560" w:lineRule="exact"/>
        <w:ind w:left="0" w:leftChars="0" w:right="0" w:rightChars="0" w:firstLine="0" w:firstLineChars="0"/>
        <w:jc w:val="left"/>
        <w:textAlignment w:val="auto"/>
        <w:outlineLvl w:val="9"/>
        <w:rPr>
          <w:rFonts w:hint="eastAsia" w:ascii="宋体" w:hAnsi="宋体" w:eastAsia="宋体" w:cs="宋体"/>
          <w:b/>
          <w:bCs/>
          <w:color w:val="auto"/>
          <w:spacing w:val="249"/>
          <w:w w:val="80"/>
          <w:sz w:val="84"/>
          <w:szCs w:val="84"/>
        </w:rPr>
      </w:pPr>
      <w:r>
        <w:rPr>
          <w:rFonts w:hint="eastAsia" w:ascii="宋体" w:hAnsi="宋体" w:eastAsia="宋体" w:cs="宋体"/>
          <w:b/>
          <w:bCs/>
          <w:color w:val="auto"/>
          <w:spacing w:val="255"/>
          <w:w w:val="80"/>
          <w:sz w:val="84"/>
          <w:szCs w:val="84"/>
          <w:lang w:eastAsia="zh-CN"/>
        </w:rPr>
        <w:t>本溪</w:t>
      </w:r>
      <w:r>
        <w:rPr>
          <w:rFonts w:hint="eastAsia" w:ascii="宋体" w:hAnsi="宋体" w:eastAsia="宋体" w:cs="宋体"/>
          <w:b/>
          <w:bCs/>
          <w:color w:val="auto"/>
          <w:spacing w:val="255"/>
          <w:w w:val="80"/>
          <w:sz w:val="84"/>
          <w:szCs w:val="84"/>
        </w:rPr>
        <w:t>市财政局</w:t>
      </w:r>
    </w:p>
    <w:p w14:paraId="0CA49E87">
      <w:pPr>
        <w:keepNext w:val="0"/>
        <w:keepLines w:val="0"/>
        <w:pageBreakBefore w:val="0"/>
        <w:widowControl w:val="0"/>
        <w:kinsoku/>
        <w:wordWrap/>
        <w:overflowPunct/>
        <w:topLinePunct w:val="0"/>
        <w:autoSpaceDE/>
        <w:autoSpaceDN/>
        <w:bidi w:val="0"/>
        <w:adjustRightInd/>
        <w:snapToGrid/>
        <w:spacing w:before="313" w:beforeLines="100" w:line="560" w:lineRule="exact"/>
        <w:ind w:left="0" w:leftChars="0" w:right="0" w:rightChars="0" w:firstLine="0" w:firstLineChars="0"/>
        <w:jc w:val="left"/>
        <w:textAlignment w:val="auto"/>
        <w:outlineLvl w:val="9"/>
        <w:rPr>
          <w:rFonts w:hint="eastAsia" w:ascii="宋体" w:hAnsi="宋体" w:eastAsia="宋体" w:cs="宋体"/>
          <w:b/>
          <w:bCs/>
          <w:color w:val="auto"/>
          <w:spacing w:val="80"/>
          <w:w w:val="80"/>
          <w:sz w:val="84"/>
          <w:szCs w:val="84"/>
          <w:lang w:eastAsia="zh-CN"/>
        </w:rPr>
      </w:pPr>
      <w:r>
        <w:rPr>
          <w:rFonts w:hint="eastAsia" w:ascii="宋体" w:hAnsi="宋体" w:eastAsia="宋体" w:cs="宋体"/>
          <w:b/>
          <w:bCs/>
          <w:sz w:val="84"/>
        </w:rPr>
        <mc:AlternateContent>
          <mc:Choice Requires="wps">
            <w:drawing>
              <wp:anchor distT="0" distB="0" distL="114300" distR="114300" simplePos="0" relativeHeight="251660288" behindDoc="0" locked="0" layoutInCell="1" allowOverlap="1">
                <wp:simplePos x="0" y="0"/>
                <wp:positionH relativeFrom="column">
                  <wp:posOffset>4437380</wp:posOffset>
                </wp:positionH>
                <wp:positionV relativeFrom="paragraph">
                  <wp:posOffset>545465</wp:posOffset>
                </wp:positionV>
                <wp:extent cx="1209675" cy="977900"/>
                <wp:effectExtent l="0" t="0" r="0" b="0"/>
                <wp:wrapSquare wrapText="bothSides"/>
                <wp:docPr id="4" name="文本框 4"/>
                <wp:cNvGraphicFramePr/>
                <a:graphic xmlns:a="http://schemas.openxmlformats.org/drawingml/2006/main">
                  <a:graphicData uri="http://schemas.microsoft.com/office/word/2010/wordprocessingShape">
                    <wps:wsp>
                      <wps:cNvSpPr txBox="1"/>
                      <wps:spPr>
                        <a:xfrm>
                          <a:off x="0" y="0"/>
                          <a:ext cx="1209675" cy="977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306B81">
                            <w:pPr>
                              <w:keepNext w:val="0"/>
                              <w:keepLines w:val="0"/>
                              <w:pageBreakBefore w:val="0"/>
                              <w:widowControl w:val="0"/>
                              <w:kinsoku/>
                              <w:wordWrap/>
                              <w:overflowPunct/>
                              <w:topLinePunct w:val="0"/>
                              <w:autoSpaceDE/>
                              <w:autoSpaceDN/>
                              <w:bidi w:val="0"/>
                              <w:adjustRightInd/>
                              <w:snapToGrid/>
                              <w:spacing w:before="313" w:beforeLines="100" w:line="560" w:lineRule="exact"/>
                              <w:ind w:left="0" w:leftChars="0" w:right="0" w:rightChars="0" w:firstLine="0" w:firstLineChars="0"/>
                              <w:jc w:val="center"/>
                              <w:textAlignment w:val="auto"/>
                              <w:outlineLvl w:val="9"/>
                              <w:rPr>
                                <w:rFonts w:hint="eastAsia" w:ascii="宋体" w:hAnsi="宋体" w:eastAsia="宋体" w:cs="宋体"/>
                                <w:b/>
                                <w:bCs/>
                                <w:snapToGrid w:val="0"/>
                                <w:color w:val="000000" w:themeColor="text1"/>
                                <w:spacing w:val="-26"/>
                                <w:w w:val="75"/>
                                <w:kern w:val="10"/>
                                <w:sz w:val="94"/>
                                <w:szCs w:val="9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rPr>
                            </w:pPr>
                            <w:r>
                              <w:rPr>
                                <w:rFonts w:hint="eastAsia" w:ascii="宋体" w:hAnsi="宋体" w:eastAsia="宋体" w:cs="宋体"/>
                                <w:b/>
                                <w:bCs/>
                                <w:snapToGrid w:val="0"/>
                                <w:color w:val="000000" w:themeColor="text1"/>
                                <w:spacing w:val="-26"/>
                                <w:w w:val="75"/>
                                <w:kern w:val="10"/>
                                <w:sz w:val="94"/>
                                <w:szCs w:val="9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rPr>
                              <w:t>文件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349.4pt;margin-top:42.95pt;height:77pt;width:95.25pt;mso-wrap-distance-bottom:0pt;mso-wrap-distance-left:9pt;mso-wrap-distance-right:9pt;mso-wrap-distance-top:0pt;z-index:251660288;v-text-anchor:middle;mso-width-relative:page;mso-height-relative:page;" filled="f" stroked="f" coordsize="21600,21600" o:gfxdata="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ut2GL2wAAAAoBAAAPAAAAAAAAAAEAIAAAACIAAABk&#10;cnMvZG93bnJldi54bWxQSwECFAAUAAAACACHTuJAhiWFmjwCAABoBAAADgAAAAAAAAABACAAAAAq&#10;AQAAZHJzL2Uyb0RvYy54bWxQSwUGAAAAAAYABgBZAQAA2AUAAAAA&#10;">
                <v:fill on="f" focussize="0,0"/>
                <v:stroke on="f" weight="0.5pt"/>
                <v:imagedata o:title=""/>
                <o:lock v:ext="edit" aspectratio="f"/>
                <v:textbox>
                  <w:txbxContent>
                    <w:p w14:paraId="08306B81">
                      <w:pPr>
                        <w:keepNext w:val="0"/>
                        <w:keepLines w:val="0"/>
                        <w:pageBreakBefore w:val="0"/>
                        <w:widowControl w:val="0"/>
                        <w:kinsoku/>
                        <w:wordWrap/>
                        <w:overflowPunct/>
                        <w:topLinePunct w:val="0"/>
                        <w:autoSpaceDE/>
                        <w:autoSpaceDN/>
                        <w:bidi w:val="0"/>
                        <w:adjustRightInd/>
                        <w:snapToGrid/>
                        <w:spacing w:before="313" w:beforeLines="100" w:line="560" w:lineRule="exact"/>
                        <w:ind w:left="0" w:leftChars="0" w:right="0" w:rightChars="0" w:firstLine="0" w:firstLineChars="0"/>
                        <w:jc w:val="center"/>
                        <w:textAlignment w:val="auto"/>
                        <w:outlineLvl w:val="9"/>
                        <w:rPr>
                          <w:rFonts w:hint="eastAsia" w:ascii="宋体" w:hAnsi="宋体" w:eastAsia="宋体" w:cs="宋体"/>
                          <w:b/>
                          <w:bCs/>
                          <w:snapToGrid w:val="0"/>
                          <w:color w:val="000000" w:themeColor="text1"/>
                          <w:spacing w:val="-26"/>
                          <w:w w:val="75"/>
                          <w:kern w:val="10"/>
                          <w:sz w:val="94"/>
                          <w:szCs w:val="9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rPr>
                      </w:pPr>
                      <w:r>
                        <w:rPr>
                          <w:rFonts w:hint="eastAsia" w:ascii="宋体" w:hAnsi="宋体" w:eastAsia="宋体" w:cs="宋体"/>
                          <w:b/>
                          <w:bCs/>
                          <w:snapToGrid w:val="0"/>
                          <w:color w:val="000000" w:themeColor="text1"/>
                          <w:spacing w:val="-26"/>
                          <w:w w:val="75"/>
                          <w:kern w:val="10"/>
                          <w:sz w:val="94"/>
                          <w:szCs w:val="94"/>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solidFill>
                              <w14:schemeClr w14:val="tx1"/>
                            </w14:solidFill>
                          </w14:textFill>
                        </w:rPr>
                        <w:t>文件</w:t>
                      </w:r>
                    </w:p>
                  </w:txbxContent>
                </v:textbox>
                <w10:wrap type="square"/>
              </v:shape>
            </w:pict>
          </mc:Fallback>
        </mc:AlternateContent>
      </w:r>
      <w:r>
        <w:rPr>
          <w:rFonts w:hint="eastAsia" w:ascii="宋体" w:hAnsi="宋体" w:eastAsia="宋体" w:cs="宋体"/>
          <w:b/>
          <w:bCs/>
          <w:color w:val="auto"/>
          <w:spacing w:val="85"/>
          <w:w w:val="80"/>
          <w:sz w:val="84"/>
          <w:szCs w:val="84"/>
          <w:lang w:eastAsia="zh-CN"/>
        </w:rPr>
        <w:t>本溪</w:t>
      </w:r>
      <w:r>
        <w:rPr>
          <w:rFonts w:hint="eastAsia" w:ascii="宋体" w:hAnsi="宋体" w:eastAsia="宋体" w:cs="宋体"/>
          <w:b/>
          <w:bCs/>
          <w:color w:val="auto"/>
          <w:spacing w:val="85"/>
          <w:w w:val="80"/>
          <w:sz w:val="84"/>
          <w:szCs w:val="84"/>
        </w:rPr>
        <w:t>市</w:t>
      </w:r>
      <w:r>
        <w:rPr>
          <w:rFonts w:hint="eastAsia" w:ascii="宋体" w:hAnsi="宋体" w:eastAsia="宋体" w:cs="宋体"/>
          <w:b/>
          <w:bCs/>
          <w:color w:val="auto"/>
          <w:spacing w:val="85"/>
          <w:w w:val="80"/>
          <w:sz w:val="84"/>
          <w:szCs w:val="84"/>
          <w:lang w:eastAsia="zh-CN"/>
        </w:rPr>
        <w:t>乡村振兴局</w:t>
      </w:r>
    </w:p>
    <w:p w14:paraId="06EC0630">
      <w:pPr>
        <w:keepNext w:val="0"/>
        <w:keepLines w:val="0"/>
        <w:pageBreakBefore w:val="0"/>
        <w:widowControl w:val="0"/>
        <w:kinsoku/>
        <w:wordWrap/>
        <w:overflowPunct/>
        <w:topLinePunct w:val="0"/>
        <w:autoSpaceDE/>
        <w:autoSpaceDN/>
        <w:bidi w:val="0"/>
        <w:adjustRightInd/>
        <w:snapToGrid/>
        <w:spacing w:before="313" w:beforeLines="100" w:line="560" w:lineRule="exact"/>
        <w:ind w:left="0" w:leftChars="0" w:right="0" w:rightChars="0" w:firstLine="0" w:firstLineChars="0"/>
        <w:jc w:val="left"/>
        <w:textAlignment w:val="auto"/>
        <w:outlineLvl w:val="9"/>
        <w:rPr>
          <w:rFonts w:hint="eastAsia" w:ascii="宋体" w:hAnsi="宋体" w:eastAsia="宋体" w:cs="宋体"/>
          <w:b/>
          <w:bCs/>
          <w:color w:val="auto"/>
          <w:spacing w:val="-26"/>
          <w:w w:val="80"/>
          <w:sz w:val="84"/>
          <w:szCs w:val="84"/>
          <w:lang w:eastAsia="zh-CN"/>
        </w:rPr>
      </w:pPr>
      <w:r>
        <w:rPr>
          <w:rFonts w:hint="eastAsia" w:ascii="宋体" w:hAnsi="宋体" w:eastAsia="宋体" w:cs="宋体"/>
          <w:b/>
          <w:bCs/>
          <w:color w:val="auto"/>
          <w:spacing w:val="-17"/>
          <w:w w:val="75"/>
          <w:sz w:val="84"/>
          <w:szCs w:val="84"/>
          <w:lang w:eastAsia="zh-CN"/>
        </w:rPr>
        <w:t>本溪</w:t>
      </w:r>
      <w:r>
        <w:rPr>
          <w:rFonts w:hint="eastAsia" w:ascii="宋体" w:hAnsi="宋体" w:eastAsia="宋体" w:cs="宋体"/>
          <w:b/>
          <w:bCs/>
          <w:color w:val="auto"/>
          <w:spacing w:val="-17"/>
          <w:w w:val="75"/>
          <w:sz w:val="84"/>
          <w:szCs w:val="84"/>
        </w:rPr>
        <w:t>市</w:t>
      </w:r>
      <w:r>
        <w:rPr>
          <w:rFonts w:hint="eastAsia" w:ascii="宋体" w:hAnsi="宋体" w:eastAsia="宋体" w:cs="宋体"/>
          <w:b/>
          <w:bCs/>
          <w:color w:val="auto"/>
          <w:spacing w:val="-17"/>
          <w:w w:val="75"/>
          <w:sz w:val="84"/>
          <w:szCs w:val="84"/>
          <w:lang w:eastAsia="zh-CN"/>
        </w:rPr>
        <w:t>发展和改革委员会</w:t>
      </w:r>
    </w:p>
    <w:p w14:paraId="30DA7E25">
      <w:pPr>
        <w:keepNext w:val="0"/>
        <w:keepLines w:val="0"/>
        <w:pageBreakBefore w:val="0"/>
        <w:widowControl w:val="0"/>
        <w:tabs>
          <w:tab w:val="left" w:pos="6300"/>
          <w:tab w:val="left" w:pos="6510"/>
        </w:tabs>
        <w:kinsoku/>
        <w:wordWrap/>
        <w:overflowPunct/>
        <w:topLinePunct w:val="0"/>
        <w:autoSpaceDE/>
        <w:autoSpaceDN/>
        <w:bidi w:val="0"/>
        <w:adjustRightInd/>
        <w:snapToGrid/>
        <w:spacing w:before="313" w:beforeLines="100" w:line="560" w:lineRule="exact"/>
        <w:ind w:left="0" w:leftChars="0" w:right="0" w:rightChars="0" w:firstLine="0" w:firstLineChars="0"/>
        <w:jc w:val="left"/>
        <w:textAlignment w:val="auto"/>
        <w:outlineLvl w:val="9"/>
        <w:rPr>
          <w:rFonts w:hint="eastAsia" w:ascii="宋体" w:hAnsi="宋体" w:eastAsia="宋体" w:cs="宋体"/>
          <w:b/>
          <w:bCs/>
          <w:color w:val="auto"/>
          <w:spacing w:val="-17"/>
          <w:w w:val="75"/>
          <w:sz w:val="84"/>
          <w:szCs w:val="84"/>
          <w:lang w:eastAsia="zh-CN"/>
        </w:rPr>
      </w:pPr>
      <w:r>
        <w:rPr>
          <w:rFonts w:hint="eastAsia" w:ascii="宋体" w:hAnsi="宋体" w:eastAsia="宋体" w:cs="宋体"/>
          <w:b/>
          <w:bCs/>
          <w:color w:val="auto"/>
          <w:spacing w:val="34"/>
          <w:w w:val="80"/>
          <w:sz w:val="84"/>
          <w:szCs w:val="84"/>
          <w:lang w:eastAsia="zh-CN"/>
        </w:rPr>
        <w:t>本溪市民族和宗教</w:t>
      </w:r>
      <w:r>
        <w:rPr>
          <w:rFonts w:hint="eastAsia" w:ascii="宋体" w:hAnsi="宋体" w:eastAsia="宋体" w:cs="宋体"/>
          <w:b/>
          <w:bCs/>
          <w:color w:val="auto"/>
          <w:spacing w:val="34"/>
          <w:w w:val="80"/>
          <w:sz w:val="84"/>
          <w:szCs w:val="84"/>
          <w:lang w:val="en-US" w:eastAsia="zh-CN"/>
        </w:rPr>
        <w:t>事务</w:t>
      </w:r>
      <w:r>
        <w:rPr>
          <w:rFonts w:hint="eastAsia" w:ascii="宋体" w:hAnsi="宋体" w:eastAsia="宋体" w:cs="宋体"/>
          <w:b/>
          <w:bCs/>
          <w:color w:val="auto"/>
          <w:spacing w:val="34"/>
          <w:w w:val="80"/>
          <w:sz w:val="84"/>
          <w:szCs w:val="84"/>
          <w:lang w:eastAsia="zh-CN"/>
        </w:rPr>
        <w:t>局</w:t>
      </w:r>
    </w:p>
    <w:p w14:paraId="2D8D4AE7">
      <w:pPr>
        <w:keepNext w:val="0"/>
        <w:keepLines w:val="0"/>
        <w:pageBreakBefore w:val="0"/>
        <w:widowControl w:val="0"/>
        <w:tabs>
          <w:tab w:val="left" w:pos="6300"/>
          <w:tab w:val="left" w:pos="6510"/>
        </w:tabs>
        <w:kinsoku/>
        <w:wordWrap/>
        <w:overflowPunct/>
        <w:topLinePunct w:val="0"/>
        <w:autoSpaceDE/>
        <w:autoSpaceDN/>
        <w:bidi w:val="0"/>
        <w:adjustRightInd/>
        <w:snapToGrid/>
        <w:spacing w:before="313" w:beforeLines="100" w:line="560" w:lineRule="exact"/>
        <w:ind w:left="0" w:leftChars="0" w:right="0" w:rightChars="0" w:firstLine="0" w:firstLineChars="0"/>
        <w:jc w:val="left"/>
        <w:textAlignment w:val="auto"/>
        <w:outlineLvl w:val="9"/>
        <w:rPr>
          <w:rFonts w:hint="eastAsia" w:ascii="宋体" w:hAnsi="宋体" w:eastAsia="宋体" w:cs="宋体"/>
          <w:b/>
          <w:bCs/>
          <w:color w:val="auto"/>
          <w:spacing w:val="-20"/>
          <w:w w:val="75"/>
          <w:sz w:val="84"/>
          <w:szCs w:val="84"/>
          <w:lang w:eastAsia="zh-CN"/>
        </w:rPr>
      </w:pPr>
      <w:r>
        <w:rPr>
          <w:rFonts w:hint="eastAsia" w:ascii="宋体" w:hAnsi="宋体" w:eastAsia="宋体" w:cs="宋体"/>
          <w:b/>
          <w:bCs/>
          <w:color w:val="auto"/>
          <w:spacing w:val="85"/>
          <w:w w:val="80"/>
          <w:sz w:val="84"/>
          <w:szCs w:val="84"/>
          <w:lang w:eastAsia="zh-CN"/>
        </w:rPr>
        <w:t>本溪市农业农村局</w:t>
      </w:r>
    </w:p>
    <w:p w14:paraId="23453958">
      <w:pPr>
        <w:keepNext w:val="0"/>
        <w:keepLines w:val="0"/>
        <w:pageBreakBefore w:val="0"/>
        <w:widowControl w:val="0"/>
        <w:tabs>
          <w:tab w:val="left" w:pos="6510"/>
          <w:tab w:val="right" w:pos="9070"/>
        </w:tabs>
        <w:kinsoku/>
        <w:wordWrap/>
        <w:overflowPunct/>
        <w:topLinePunct w:val="0"/>
        <w:autoSpaceDE/>
        <w:autoSpaceDN/>
        <w:bidi w:val="0"/>
        <w:adjustRightInd/>
        <w:snapToGrid/>
        <w:spacing w:before="313" w:beforeLines="100" w:line="560" w:lineRule="exact"/>
        <w:ind w:left="0" w:leftChars="0" w:right="0" w:rightChars="0" w:firstLine="0" w:firstLineChars="0"/>
        <w:jc w:val="left"/>
        <w:textAlignment w:val="auto"/>
        <w:outlineLvl w:val="9"/>
        <w:rPr>
          <w:rFonts w:hint="eastAsia" w:ascii="宋体" w:hAnsi="宋体" w:eastAsia="宋体" w:cs="宋体"/>
          <w:b/>
          <w:bCs/>
          <w:color w:val="auto"/>
          <w:w w:val="80"/>
          <w:sz w:val="32"/>
          <w:szCs w:val="32"/>
          <w:u w:val="single"/>
          <w:lang w:eastAsia="zh-CN"/>
        </w:rPr>
      </w:pPr>
      <w:r>
        <w:rPr>
          <w:rFonts w:hint="eastAsia" w:ascii="宋体" w:hAnsi="宋体" w:eastAsia="宋体" w:cs="宋体"/>
          <w:b/>
          <w:bCs/>
          <w:color w:val="auto"/>
          <w:spacing w:val="34"/>
          <w:w w:val="80"/>
          <w:sz w:val="84"/>
          <w:szCs w:val="84"/>
          <w:lang w:eastAsia="zh-CN"/>
        </w:rPr>
        <w:t>本溪市林业和草原局</w:t>
      </w:r>
    </w:p>
    <w:p w14:paraId="2844154F">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left"/>
        <w:textAlignment w:val="auto"/>
        <w:outlineLvl w:val="9"/>
        <w:rPr>
          <w:rFonts w:hint="eastAsia" w:ascii="黑体" w:eastAsia="黑体"/>
          <w:color w:val="auto"/>
          <w:w w:val="80"/>
          <w:sz w:val="32"/>
          <w:szCs w:val="32"/>
        </w:rPr>
      </w:pPr>
    </w:p>
    <w:p w14:paraId="08615BF7">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0" w:firstLineChars="0"/>
        <w:jc w:val="center"/>
        <w:textAlignment w:val="auto"/>
        <w:outlineLvl w:val="9"/>
        <w:rPr>
          <w:rFonts w:hint="eastAsia" w:ascii="仿宋_GB2312" w:eastAsia="仿宋_GB2312"/>
          <w:color w:val="auto"/>
          <w:w w:val="80"/>
          <w:sz w:val="32"/>
          <w:szCs w:val="32"/>
          <w:lang w:eastAsia="zh-CN"/>
        </w:rPr>
      </w:pPr>
    </w:p>
    <w:p w14:paraId="2EB65E09">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0" w:firstLineChars="0"/>
        <w:jc w:val="center"/>
        <w:textAlignment w:val="auto"/>
        <w:outlineLvl w:val="9"/>
        <w:rPr>
          <w:rFonts w:hint="eastAsia" w:ascii="仿宋_GB2312" w:eastAsia="仿宋_GB2312"/>
          <w:color w:val="auto"/>
          <w:w w:val="100"/>
          <w:sz w:val="32"/>
          <w:szCs w:val="32"/>
        </w:rPr>
      </w:pPr>
      <w:r>
        <w:rPr>
          <w:color w:val="auto"/>
          <w:sz w:val="32"/>
        </w:rPr>
        <mc:AlternateContent>
          <mc:Choice Requires="wps">
            <w:drawing>
              <wp:anchor distT="0" distB="0" distL="114300" distR="114300" simplePos="0" relativeHeight="251661312" behindDoc="0" locked="0" layoutInCell="1" allowOverlap="1">
                <wp:simplePos x="0" y="0"/>
                <wp:positionH relativeFrom="column">
                  <wp:posOffset>-179705</wp:posOffset>
                </wp:positionH>
                <wp:positionV relativeFrom="paragraph">
                  <wp:posOffset>366395</wp:posOffset>
                </wp:positionV>
                <wp:extent cx="5769610" cy="8890"/>
                <wp:effectExtent l="0" t="0" r="0" b="0"/>
                <wp:wrapNone/>
                <wp:docPr id="5" name="直接连接符 5"/>
                <wp:cNvGraphicFramePr/>
                <a:graphic xmlns:a="http://schemas.openxmlformats.org/drawingml/2006/main">
                  <a:graphicData uri="http://schemas.microsoft.com/office/word/2010/wordprocessingShape">
                    <wps:wsp>
                      <wps:cNvCnPr/>
                      <wps:spPr>
                        <a:xfrm flipV="1">
                          <a:off x="0" y="0"/>
                          <a:ext cx="5769610" cy="8890"/>
                        </a:xfrm>
                        <a:prstGeom prst="line">
                          <a:avLst/>
                        </a:prstGeom>
                        <a:ln w="22225" cmpd="sng">
                          <a:solidFill>
                            <a:schemeClr val="tx1"/>
                          </a:solidFill>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4.15pt;margin-top:28.85pt;height:0.7pt;width:454.3pt;z-index:251661312;mso-width-relative:page;mso-height-relative:page;" filled="f" stroked="t" coordsize="21600,21600" o:gfxdata="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uV/3DWAAAACQEA&#10;AA8AAAAAAAAAAQAgAAAAIgAAAGRycy9kb3ducmV2LnhtbFBLAQIUABQAAAAIAIdO4kAZoU0B4wEA&#10;AKgDAAAOAAAAAAAAAAEAIAAAACUBAABkcnMvZTJvRG9jLnhtbFBLBQYAAAAABgAGAFkBAAB6BQAA&#10;AAA=&#10;">
                <v:fill on="f" focussize="0,0"/>
                <v:stroke weight="1.75pt" color="#000000 [3213]" joinstyle="round"/>
                <v:imagedata o:title=""/>
                <o:lock v:ext="edit" aspectratio="f"/>
              </v:line>
            </w:pict>
          </mc:Fallback>
        </mc:AlternateContent>
      </w:r>
      <w:r>
        <w:rPr>
          <w:rFonts w:hint="eastAsia" w:ascii="仿宋_GB2312" w:eastAsia="仿宋_GB2312"/>
          <w:color w:val="auto"/>
          <w:w w:val="100"/>
          <w:sz w:val="32"/>
          <w:szCs w:val="32"/>
          <w:lang w:eastAsia="zh-CN"/>
        </w:rPr>
        <w:t>本财发</w:t>
      </w:r>
      <w:r>
        <w:rPr>
          <w:rFonts w:hint="eastAsia" w:ascii="仿宋_GB2312" w:hAnsi="仿宋_GB2312" w:eastAsia="仿宋_GB2312" w:cs="仿宋_GB2312"/>
          <w:color w:val="auto"/>
          <w:w w:val="100"/>
          <w:sz w:val="32"/>
          <w:szCs w:val="32"/>
          <w:lang w:eastAsia="zh-CN"/>
        </w:rPr>
        <w:t>〔</w:t>
      </w:r>
      <w:r>
        <w:rPr>
          <w:rFonts w:hint="eastAsia" w:ascii="仿宋_GB2312" w:hAnsi="仿宋_GB2312" w:eastAsia="仿宋_GB2312" w:cs="仿宋_GB2312"/>
          <w:color w:val="auto"/>
          <w:w w:val="100"/>
          <w:sz w:val="32"/>
          <w:szCs w:val="32"/>
          <w:lang w:val="en-US" w:eastAsia="zh-CN"/>
        </w:rPr>
        <w:t>2021</w:t>
      </w:r>
      <w:r>
        <w:rPr>
          <w:rFonts w:hint="eastAsia" w:ascii="仿宋_GB2312" w:hAnsi="仿宋_GB2312" w:eastAsia="仿宋_GB2312" w:cs="仿宋_GB2312"/>
          <w:color w:val="auto"/>
          <w:w w:val="100"/>
          <w:sz w:val="32"/>
          <w:szCs w:val="32"/>
          <w:lang w:eastAsia="zh-CN"/>
        </w:rPr>
        <w:t>〕</w:t>
      </w:r>
      <w:r>
        <w:rPr>
          <w:rFonts w:hint="eastAsia" w:ascii="仿宋_GB2312" w:eastAsia="仿宋_GB2312"/>
          <w:color w:val="auto"/>
          <w:w w:val="100"/>
          <w:sz w:val="32"/>
          <w:szCs w:val="32"/>
          <w:lang w:val="en-US" w:eastAsia="zh-CN"/>
        </w:rPr>
        <w:t>81</w:t>
      </w:r>
      <w:r>
        <w:rPr>
          <w:rFonts w:hint="eastAsia" w:ascii="仿宋_GB2312" w:eastAsia="仿宋_GB2312"/>
          <w:color w:val="auto"/>
          <w:w w:val="100"/>
          <w:sz w:val="32"/>
          <w:szCs w:val="32"/>
        </w:rPr>
        <w:t>号</w:t>
      </w:r>
    </w:p>
    <w:p w14:paraId="5D4E8FFD">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0" w:firstLineChars="0"/>
        <w:jc w:val="both"/>
        <w:textAlignment w:val="auto"/>
        <w:outlineLvl w:val="9"/>
        <w:rPr>
          <w:rFonts w:hint="eastAsia" w:ascii="仿宋_GB2312" w:eastAsia="仿宋_GB2312"/>
          <w:color w:val="auto"/>
          <w:w w:val="80"/>
          <w:sz w:val="32"/>
          <w:szCs w:val="32"/>
        </w:rPr>
      </w:pPr>
    </w:p>
    <w:p w14:paraId="4E22D0AA">
      <w:pPr>
        <w:adjustRightInd w:val="0"/>
        <w:ind w:firstLine="1320" w:firstLineChars="300"/>
        <w:jc w:val="both"/>
        <w:rPr>
          <w:rFonts w:hint="eastAsia" w:asciiTheme="majorEastAsia" w:hAnsiTheme="majorEastAsia" w:eastAsiaTheme="majorEastAsia" w:cstheme="majorEastAsia"/>
          <w:b w:val="0"/>
          <w:bCs w:val="0"/>
          <w:color w:val="auto"/>
          <w:sz w:val="44"/>
          <w:szCs w:val="44"/>
          <w:lang w:eastAsia="zh-CN"/>
        </w:rPr>
      </w:pPr>
      <w:r>
        <w:rPr>
          <w:rFonts w:hint="eastAsia" w:asciiTheme="majorEastAsia" w:hAnsiTheme="majorEastAsia" w:eastAsiaTheme="majorEastAsia" w:cstheme="majorEastAsia"/>
          <w:b w:val="0"/>
          <w:bCs w:val="0"/>
          <w:color w:val="auto"/>
          <w:sz w:val="44"/>
          <w:szCs w:val="44"/>
        </w:rPr>
        <w:t>关于印发</w:t>
      </w:r>
      <w:r>
        <w:rPr>
          <w:rFonts w:hint="eastAsia" w:asciiTheme="majorEastAsia" w:hAnsiTheme="majorEastAsia" w:eastAsiaTheme="majorEastAsia" w:cstheme="majorEastAsia"/>
          <w:b w:val="0"/>
          <w:bCs w:val="0"/>
          <w:color w:val="auto"/>
          <w:sz w:val="44"/>
          <w:szCs w:val="44"/>
          <w:lang w:eastAsia="zh-CN"/>
        </w:rPr>
        <w:t>《本溪市衔接推进乡村振兴</w:t>
      </w:r>
    </w:p>
    <w:p w14:paraId="37643CB4">
      <w:pPr>
        <w:adjustRightInd w:val="0"/>
        <w:jc w:val="center"/>
        <w:rPr>
          <w:rFonts w:hint="eastAsia" w:asciiTheme="majorEastAsia" w:hAnsiTheme="majorEastAsia" w:eastAsiaTheme="majorEastAsia" w:cstheme="majorEastAsia"/>
          <w:b w:val="0"/>
          <w:bCs w:val="0"/>
          <w:color w:val="auto"/>
          <w:sz w:val="44"/>
          <w:szCs w:val="44"/>
          <w:lang w:eastAsia="zh-CN"/>
        </w:rPr>
      </w:pPr>
      <w:r>
        <w:rPr>
          <w:rFonts w:hint="eastAsia" w:asciiTheme="majorEastAsia" w:hAnsiTheme="majorEastAsia" w:eastAsiaTheme="majorEastAsia" w:cstheme="majorEastAsia"/>
          <w:b w:val="0"/>
          <w:bCs w:val="0"/>
          <w:color w:val="auto"/>
          <w:sz w:val="44"/>
          <w:szCs w:val="44"/>
          <w:lang w:eastAsia="zh-CN"/>
        </w:rPr>
        <w:t>补助资金管理实施细则》的通知</w:t>
      </w:r>
    </w:p>
    <w:p w14:paraId="3ECD5CD9">
      <w:pPr>
        <w:adjustRightInd w:val="0"/>
        <w:jc w:val="center"/>
        <w:rPr>
          <w:rFonts w:hint="eastAsia" w:ascii="黑体" w:eastAsia="黑体"/>
          <w:color w:val="auto"/>
          <w:sz w:val="44"/>
          <w:szCs w:val="44"/>
          <w:lang w:val="en-US" w:eastAsia="zh-CN"/>
        </w:rPr>
      </w:pPr>
    </w:p>
    <w:p w14:paraId="2347D41D">
      <w:pPr>
        <w:adjustRightInd w:val="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各县（区）、高新区财政局，乡村振兴局，发展改革局，民族和宗教局，农业农村局，林业和草原局：</w:t>
      </w:r>
    </w:p>
    <w:p w14:paraId="675E7752">
      <w:pPr>
        <w:tabs>
          <w:tab w:val="left" w:pos="545"/>
        </w:tabs>
        <w:ind w:firstLine="645"/>
        <w:rPr>
          <w:rFonts w:hint="eastAsia" w:ascii="仿宋_GB2312" w:eastAsia="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根据中央、省巩固拓展脱贫攻坚成果同乡村振兴有效衔接决策部署，加强过渡期内衔接推进乡村振兴补助资金管理，按照省财政厅等6部门《关于印发辽宁省衔接推进乡村振兴补助资金管理办法的通知》（辽财农规〔2021〕4号）有关要求，结合我市实际，我们制定了 《本溪市衔接推进乡村振兴</w:t>
      </w:r>
      <w:r>
        <w:rPr>
          <w:rFonts w:hint="eastAsia" w:ascii="仿宋_GB2312" w:eastAsia="仿宋_GB2312"/>
          <w:b w:val="0"/>
          <w:bCs/>
          <w:color w:val="auto"/>
          <w:sz w:val="32"/>
          <w:szCs w:val="32"/>
          <w:lang w:val="en-US" w:eastAsia="zh-CN"/>
        </w:rPr>
        <w:t>补助资金管理实施细则》，现予印发，请遵照执行。</w:t>
      </w:r>
    </w:p>
    <w:p w14:paraId="6791ABE7">
      <w:pPr>
        <w:tabs>
          <w:tab w:val="left" w:pos="545"/>
        </w:tabs>
        <w:ind w:firstLine="645"/>
        <w:rPr>
          <w:rFonts w:hint="eastAsia" w:ascii="仿宋_GB2312" w:eastAsia="仿宋_GB2312"/>
          <w:b w:val="0"/>
          <w:bCs/>
          <w:color w:val="auto"/>
          <w:sz w:val="32"/>
          <w:szCs w:val="32"/>
          <w:lang w:val="en-US" w:eastAsia="zh-CN"/>
        </w:rPr>
      </w:pPr>
    </w:p>
    <w:p w14:paraId="7883C349">
      <w:pPr>
        <w:tabs>
          <w:tab w:val="left" w:pos="545"/>
        </w:tabs>
        <w:ind w:firstLine="645"/>
        <w:rPr>
          <w:rFonts w:hint="eastAsia" w:ascii="仿宋_GB2312" w:eastAsia="仿宋_GB2312"/>
          <w:b w:val="0"/>
          <w:bCs/>
          <w:color w:val="auto"/>
          <w:sz w:val="32"/>
          <w:szCs w:val="32"/>
          <w:lang w:val="en-US" w:eastAsia="zh-CN"/>
        </w:rPr>
      </w:pPr>
    </w:p>
    <w:p w14:paraId="66821170">
      <w:pPr>
        <w:tabs>
          <w:tab w:val="left" w:pos="545"/>
        </w:tabs>
        <w:ind w:firstLine="645"/>
        <w:rPr>
          <w:rFonts w:hint="eastAsia" w:ascii="仿宋_GB2312" w:eastAsia="仿宋_GB2312"/>
          <w:b w:val="0"/>
          <w:bCs/>
          <w:color w:val="auto"/>
          <w:sz w:val="32"/>
          <w:szCs w:val="32"/>
          <w:lang w:val="en-US" w:eastAsia="zh-CN"/>
        </w:rPr>
      </w:pPr>
    </w:p>
    <w:p w14:paraId="704BCBD6">
      <w:pPr>
        <w:tabs>
          <w:tab w:val="left" w:pos="545"/>
          <w:tab w:val="left" w:pos="7560"/>
          <w:tab w:val="left" w:pos="7770"/>
        </w:tabs>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市财政局       市乡村振兴局    市发展和改革委员会</w:t>
      </w:r>
    </w:p>
    <w:p w14:paraId="2845CFEB">
      <w:pPr>
        <w:tabs>
          <w:tab w:val="left" w:pos="545"/>
        </w:tabs>
        <w:ind w:firstLine="645"/>
        <w:rPr>
          <w:rFonts w:hint="eastAsia" w:ascii="仿宋_GB2312" w:eastAsia="仿宋_GB2312"/>
          <w:b w:val="0"/>
          <w:bCs/>
          <w:color w:val="auto"/>
          <w:sz w:val="32"/>
          <w:szCs w:val="32"/>
          <w:lang w:val="en-US" w:eastAsia="zh-CN"/>
        </w:rPr>
      </w:pPr>
    </w:p>
    <w:p w14:paraId="5856D541">
      <w:pPr>
        <w:tabs>
          <w:tab w:val="left" w:pos="545"/>
        </w:tabs>
        <w:ind w:firstLine="645"/>
        <w:rPr>
          <w:rFonts w:hint="eastAsia" w:ascii="仿宋_GB2312" w:eastAsia="仿宋_GB2312"/>
          <w:b w:val="0"/>
          <w:bCs/>
          <w:color w:val="auto"/>
          <w:sz w:val="32"/>
          <w:szCs w:val="32"/>
          <w:lang w:val="en-US" w:eastAsia="zh-CN"/>
        </w:rPr>
      </w:pPr>
    </w:p>
    <w:p w14:paraId="0372B3B7">
      <w:pPr>
        <w:tabs>
          <w:tab w:val="left" w:pos="545"/>
        </w:tabs>
        <w:ind w:firstLine="645"/>
        <w:rPr>
          <w:rFonts w:hint="eastAsia" w:ascii="仿宋_GB2312" w:eastAsia="仿宋_GB2312"/>
          <w:b w:val="0"/>
          <w:bCs/>
          <w:color w:val="auto"/>
          <w:sz w:val="32"/>
          <w:szCs w:val="32"/>
          <w:lang w:val="en-US" w:eastAsia="zh-CN"/>
        </w:rPr>
      </w:pPr>
    </w:p>
    <w:p w14:paraId="1227E4FD">
      <w:pPr>
        <w:tabs>
          <w:tab w:val="left" w:pos="545"/>
        </w:tabs>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市民族和宗教事务局   市农业农村局    市林业和草原局</w:t>
      </w:r>
    </w:p>
    <w:p w14:paraId="39F2B29D">
      <w:pPr>
        <w:tabs>
          <w:tab w:val="left" w:pos="545"/>
          <w:tab w:val="left" w:pos="7560"/>
        </w:tabs>
        <w:ind w:left="0" w:leftChars="0" w:firstLine="5059" w:firstLineChars="1581"/>
        <w:rPr>
          <w:rFonts w:ascii="仿宋_GB2312" w:eastAsia="仿宋_GB2312"/>
          <w:color w:val="auto"/>
          <w:sz w:val="32"/>
          <w:szCs w:val="32"/>
        </w:rPr>
      </w:pPr>
      <w:r>
        <w:rPr>
          <w:rFonts w:hint="eastAsia" w:ascii="仿宋_GB2312" w:eastAsia="仿宋_GB2312"/>
          <w:color w:val="auto"/>
          <w:sz w:val="32"/>
          <w:szCs w:val="32"/>
          <w:lang w:val="en-US" w:eastAsia="zh-CN"/>
        </w:rPr>
        <w:t>2021</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16</w:t>
      </w:r>
      <w:r>
        <w:rPr>
          <w:rFonts w:hint="eastAsia" w:ascii="仿宋_GB2312" w:eastAsia="仿宋_GB2312"/>
          <w:color w:val="auto"/>
          <w:sz w:val="32"/>
          <w:szCs w:val="32"/>
        </w:rPr>
        <w:t>日</w:t>
      </w:r>
    </w:p>
    <w:p w14:paraId="191804E0">
      <w:pPr>
        <w:rPr>
          <w:rFonts w:hint="eastAsia" w:ascii="仿宋_GB2312" w:eastAsia="仿宋_GB2312"/>
          <w:color w:val="auto"/>
          <w:sz w:val="32"/>
          <w:szCs w:val="32"/>
          <w:u w:val="single"/>
        </w:rPr>
      </w:pPr>
    </w:p>
    <w:p w14:paraId="093F4C50">
      <w:pPr>
        <w:rPr>
          <w:rFonts w:hint="eastAsia" w:ascii="仿宋_GB2312" w:eastAsia="仿宋_GB2312"/>
          <w:color w:val="auto"/>
          <w:sz w:val="32"/>
          <w:szCs w:val="32"/>
          <w:u w:val="single"/>
        </w:rPr>
      </w:pPr>
    </w:p>
    <w:p w14:paraId="7E71A4ED">
      <w:pPr>
        <w:rPr>
          <w:rFonts w:hint="eastAsia" w:ascii="仿宋_GB2312" w:eastAsia="仿宋_GB2312"/>
          <w:color w:val="auto"/>
          <w:sz w:val="32"/>
          <w:szCs w:val="32"/>
          <w:u w:val="single"/>
        </w:rPr>
      </w:pPr>
    </w:p>
    <w:p w14:paraId="5FA8DF12">
      <w:pPr>
        <w:rPr>
          <w:rFonts w:hint="eastAsia" w:ascii="仿宋_GB2312" w:eastAsia="仿宋_GB2312"/>
          <w:color w:val="auto"/>
          <w:sz w:val="32"/>
          <w:szCs w:val="32"/>
          <w:u w:val="single"/>
        </w:rPr>
      </w:pPr>
    </w:p>
    <w:p w14:paraId="7F4378C6">
      <w:pPr>
        <w:rPr>
          <w:rFonts w:hint="eastAsia" w:ascii="仿宋_GB2312" w:eastAsia="仿宋_GB2312"/>
          <w:color w:val="auto"/>
          <w:sz w:val="32"/>
          <w:szCs w:val="32"/>
          <w:u w:val="single"/>
        </w:rPr>
      </w:pPr>
    </w:p>
    <w:p w14:paraId="37428BD7">
      <w:pPr>
        <w:rPr>
          <w:rFonts w:hint="eastAsia" w:ascii="仿宋_GB2312" w:eastAsia="仿宋_GB2312"/>
          <w:color w:val="auto"/>
          <w:sz w:val="32"/>
          <w:szCs w:val="32"/>
          <w:u w:val="single"/>
        </w:rPr>
      </w:pPr>
    </w:p>
    <w:p w14:paraId="34A2A9E9">
      <w:pPr>
        <w:adjustRightInd w:val="0"/>
        <w:rPr>
          <w:color w:val="auto"/>
          <w:sz w:val="32"/>
        </w:rPr>
      </w:pPr>
      <w:r>
        <w:rPr>
          <w:color w:val="auto"/>
          <w:sz w:val="32"/>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336550</wp:posOffset>
                </wp:positionV>
                <wp:extent cx="5598160" cy="10795"/>
                <wp:effectExtent l="0" t="4445" r="2540" b="13335"/>
                <wp:wrapNone/>
                <wp:docPr id="2" name="直接连接符 2"/>
                <wp:cNvGraphicFramePr/>
                <a:graphic xmlns:a="http://schemas.openxmlformats.org/drawingml/2006/main">
                  <a:graphicData uri="http://schemas.microsoft.com/office/word/2010/wordprocessingShape">
                    <wps:wsp>
                      <wps:cNvCnPr/>
                      <wps:spPr>
                        <a:xfrm>
                          <a:off x="1134745" y="9175750"/>
                          <a:ext cx="5598160" cy="10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65pt;margin-top:26.5pt;height:0.85pt;width:440.8pt;z-index:251659264;mso-width-relative:page;mso-height-relative:page;" filled="f" stroked="t" coordsize="21600,21600" o:gfxdata="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MbjPWAAAACAEAAA8AAAAAAAAAAQAgAAAAIgAAAGRycy9kb3du&#10;cmV2LnhtbFBLAQIUABQAAAAIAIdO4kDoPt0CAQIAAOMDAAAOAAAAAAAAAAEAIAAAACUBAABkcnMv&#10;ZTJvRG9jLnhtbFBLBQYAAAAABgAGAFkBAACYBQAAAAA=&#10;">
                <v:fill on="f" focussize="0,0"/>
                <v:stroke color="#000000 [3200]" joinstyle="round"/>
                <v:imagedata o:title=""/>
                <o:lock v:ext="edit" aspectratio="f"/>
              </v:line>
            </w:pict>
          </mc:Fallback>
        </mc:AlternateContent>
      </w:r>
    </w:p>
    <w:p w14:paraId="64283E32">
      <w:pPr>
        <w:tabs>
          <w:tab w:val="left" w:pos="8820"/>
        </w:tabs>
        <w:adjustRightInd w:val="0"/>
        <w:rPr>
          <w:rFonts w:hint="eastAsia" w:ascii="黑体" w:hAnsi="黑体" w:eastAsia="黑体"/>
          <w:color w:val="auto"/>
          <w:sz w:val="28"/>
          <w:szCs w:val="28"/>
          <w:u w:val="none"/>
        </w:rPr>
      </w:pPr>
      <w:r>
        <w:rPr>
          <w:color w:val="auto"/>
          <w:sz w:val="32"/>
        </w:rPr>
        <mc:AlternateContent>
          <mc:Choice Requires="wps">
            <w:drawing>
              <wp:anchor distT="0" distB="0" distL="114300" distR="114300" simplePos="0" relativeHeight="251662336" behindDoc="0" locked="0" layoutInCell="1" allowOverlap="1">
                <wp:simplePos x="0" y="0"/>
                <wp:positionH relativeFrom="column">
                  <wp:posOffset>-14605</wp:posOffset>
                </wp:positionH>
                <wp:positionV relativeFrom="paragraph">
                  <wp:posOffset>410210</wp:posOffset>
                </wp:positionV>
                <wp:extent cx="5598160" cy="10795"/>
                <wp:effectExtent l="0" t="4445" r="2540" b="13335"/>
                <wp:wrapNone/>
                <wp:docPr id="6" name="直接连接符 6"/>
                <wp:cNvGraphicFramePr/>
                <a:graphic xmlns:a="http://schemas.openxmlformats.org/drawingml/2006/main">
                  <a:graphicData uri="http://schemas.microsoft.com/office/word/2010/wordprocessingShape">
                    <wps:wsp>
                      <wps:cNvCnPr/>
                      <wps:spPr>
                        <a:xfrm>
                          <a:off x="0" y="0"/>
                          <a:ext cx="5598160" cy="10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15pt;margin-top:32.3pt;height:0.85pt;width:440.8pt;z-index:251662336;mso-width-relative:page;mso-height-relative:page;" filled="f" stroked="t" coordsize="21600,21600" o:gfxdata="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syntNYAAAAIAQAADwAAAAAAAAABACAAAAAiAAAAZHJzL2Rvd25yZXYueG1sUEsBAhQA&#10;FAAAAAgAh07iQE8gr930AQAA1wMAAA4AAAAAAAAAAQAgAAAAJQEAAGRycy9lMm9Eb2MueG1sUEsF&#10;BgAAAAAGAAYAWQEAAIsFAAAAAA==&#10;">
                <v:fill on="f" focussize="0,0"/>
                <v:stroke color="#000000 [3200]" joinstyle="round"/>
                <v:imagedata o:title=""/>
                <o:lock v:ext="edit" aspectratio="f"/>
              </v:line>
            </w:pict>
          </mc:Fallback>
        </mc:AlternateContent>
      </w:r>
      <w:r>
        <w:rPr>
          <w:rFonts w:hint="eastAsia" w:ascii="宋体" w:hAnsi="宋体" w:eastAsia="仿宋_GB2312"/>
          <w:color w:val="auto"/>
          <w:sz w:val="28"/>
          <w:szCs w:val="28"/>
          <w:u w:val="none"/>
          <w:lang w:val="en-US" w:eastAsia="zh-CN"/>
        </w:rPr>
        <w:t xml:space="preserve"> 本溪</w:t>
      </w:r>
      <w:r>
        <w:rPr>
          <w:rFonts w:hint="eastAsia" w:ascii="仿宋_GB2312" w:hAnsi="仿宋_GB2312" w:eastAsia="仿宋_GB2312" w:cs="仿宋_GB2312"/>
          <w:color w:val="auto"/>
          <w:sz w:val="28"/>
          <w:szCs w:val="28"/>
          <w:u w:val="none"/>
          <w:lang w:eastAsia="zh-CN"/>
        </w:rPr>
        <w:t>市财政局机关党委（办公室）</w:t>
      </w:r>
      <w:r>
        <w:rPr>
          <w:rFonts w:hint="eastAsia" w:ascii="仿宋_GB2312" w:hAnsi="仿宋_GB2312" w:eastAsia="仿宋_GB2312" w:cs="仿宋_GB2312"/>
          <w:color w:val="auto"/>
          <w:sz w:val="28"/>
          <w:szCs w:val="28"/>
          <w:u w:val="none"/>
          <w:lang w:val="en-US" w:eastAsia="zh-CN"/>
        </w:rPr>
        <w:t xml:space="preserve">            2021年11月16日印发</w:t>
      </w:r>
    </w:p>
    <w:p w14:paraId="08FFE465">
      <w:pPr>
        <w:jc w:val="center"/>
        <w:rPr>
          <w:rFonts w:hint="eastAsia" w:ascii="方正小标宋简体" w:hAnsi="方正小标宋简体" w:eastAsia="方正小标宋简体" w:cs="方正小标宋简体"/>
          <w:color w:val="auto"/>
          <w:sz w:val="44"/>
          <w:szCs w:val="44"/>
          <w:lang w:eastAsia="zh-CN"/>
        </w:rPr>
      </w:pPr>
    </w:p>
    <w:p w14:paraId="314B4D4C">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本溪</w:t>
      </w:r>
      <w:r>
        <w:rPr>
          <w:rFonts w:hint="eastAsia" w:ascii="方正小标宋简体" w:hAnsi="方正小标宋简体" w:eastAsia="方正小标宋简体" w:cs="方正小标宋简体"/>
          <w:color w:val="auto"/>
          <w:sz w:val="44"/>
          <w:szCs w:val="44"/>
        </w:rPr>
        <w:t>市衔接推进乡村振兴补助资金</w:t>
      </w:r>
    </w:p>
    <w:p w14:paraId="639E42C3">
      <w:pPr>
        <w:jc w:val="center"/>
        <w:rPr>
          <w:rFonts w:hint="eastAsia" w:ascii="黑体" w:hAnsi="黑体" w:eastAsia="黑体"/>
          <w:color w:val="auto"/>
          <w:sz w:val="44"/>
          <w:szCs w:val="44"/>
        </w:rPr>
      </w:pPr>
      <w:r>
        <w:rPr>
          <w:rFonts w:hint="eastAsia" w:ascii="方正小标宋简体" w:hAnsi="方正小标宋简体" w:eastAsia="方正小标宋简体" w:cs="方正小标宋简体"/>
          <w:color w:val="auto"/>
          <w:sz w:val="44"/>
          <w:szCs w:val="44"/>
        </w:rPr>
        <w:t>管理实施细则</w:t>
      </w:r>
    </w:p>
    <w:p w14:paraId="0B6A3A62">
      <w:pPr>
        <w:jc w:val="center"/>
        <w:rPr>
          <w:rFonts w:hint="eastAsia" w:ascii="黑体" w:hAnsi="黑体" w:eastAsia="黑体"/>
          <w:color w:val="auto"/>
          <w:sz w:val="44"/>
          <w:szCs w:val="44"/>
        </w:rPr>
      </w:pPr>
    </w:p>
    <w:p w14:paraId="466083AA">
      <w:pPr>
        <w:pStyle w:val="8"/>
        <w:numPr>
          <w:ilvl w:val="0"/>
          <w:numId w:val="0"/>
        </w:numPr>
        <w:ind w:leftChars="0"/>
        <w:jc w:val="center"/>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eastAsia="zh-CN"/>
        </w:rPr>
        <w:t>第一章</w:t>
      </w:r>
      <w:r>
        <w:rPr>
          <w:rFonts w:hint="eastAsia" w:ascii="黑体" w:hAnsi="黑体" w:eastAsia="黑体" w:cs="黑体"/>
          <w:b w:val="0"/>
          <w:bCs/>
          <w:color w:val="auto"/>
          <w:sz w:val="32"/>
          <w:szCs w:val="32"/>
        </w:rPr>
        <w:t xml:space="preserve">  </w:t>
      </w:r>
      <w:r>
        <w:rPr>
          <w:rFonts w:hint="eastAsia" w:ascii="黑体" w:hAnsi="黑体" w:eastAsia="黑体" w:cs="黑体"/>
          <w:b w:val="0"/>
          <w:bCs/>
          <w:color w:val="auto"/>
          <w:sz w:val="32"/>
          <w:szCs w:val="32"/>
          <w:lang w:val="en-US" w:eastAsia="zh-CN"/>
        </w:rPr>
        <w:t xml:space="preserve"> </w:t>
      </w:r>
      <w:r>
        <w:rPr>
          <w:rFonts w:hint="eastAsia" w:ascii="黑体" w:hAnsi="黑体" w:eastAsia="黑体" w:cs="黑体"/>
          <w:b w:val="0"/>
          <w:bCs/>
          <w:color w:val="auto"/>
          <w:sz w:val="32"/>
          <w:szCs w:val="32"/>
        </w:rPr>
        <w:t>总</w:t>
      </w:r>
      <w:r>
        <w:rPr>
          <w:rFonts w:hint="eastAsia" w:ascii="黑体" w:hAnsi="黑体" w:eastAsia="黑体" w:cs="黑体"/>
          <w:b w:val="0"/>
          <w:bCs/>
          <w:color w:val="auto"/>
          <w:sz w:val="32"/>
          <w:szCs w:val="32"/>
          <w:lang w:val="en-US" w:eastAsia="zh-CN"/>
        </w:rPr>
        <w:t xml:space="preserve">  </w:t>
      </w:r>
      <w:r>
        <w:rPr>
          <w:rFonts w:hint="eastAsia" w:ascii="黑体" w:hAnsi="黑体" w:eastAsia="黑体" w:cs="黑体"/>
          <w:b w:val="0"/>
          <w:bCs/>
          <w:color w:val="auto"/>
          <w:sz w:val="32"/>
          <w:szCs w:val="32"/>
        </w:rPr>
        <w:t>则</w:t>
      </w:r>
    </w:p>
    <w:p w14:paraId="27925CED">
      <w:pPr>
        <w:ind w:firstLine="640" w:firstLineChars="200"/>
        <w:rPr>
          <w:rFonts w:hint="eastAsia" w:ascii="仿宋_GB2312" w:hAnsi="仿宋_GB2312" w:eastAsia="仿宋_GB2312" w:cs="仿宋_GB2312"/>
          <w:color w:val="auto"/>
          <w:sz w:val="32"/>
          <w:szCs w:val="32"/>
        </w:rPr>
      </w:pPr>
      <w:r>
        <w:rPr>
          <w:rFonts w:hint="eastAsia" w:ascii="黑体" w:hAnsi="黑体" w:eastAsia="黑体" w:cs="黑体"/>
          <w:b w:val="0"/>
          <w:bCs/>
          <w:color w:val="auto"/>
          <w:sz w:val="32"/>
          <w:szCs w:val="32"/>
          <w:lang w:val="en-US" w:eastAsia="zh-CN"/>
        </w:rPr>
        <w:t xml:space="preserve">第一条 </w:t>
      </w:r>
      <w:r>
        <w:rPr>
          <w:rFonts w:hint="eastAsia" w:ascii="仿宋_GB2312" w:hAnsi="仿宋_GB2312" w:eastAsia="仿宋_GB2312" w:cs="仿宋_GB2312"/>
          <w:color w:val="auto"/>
          <w:sz w:val="32"/>
          <w:szCs w:val="32"/>
        </w:rPr>
        <w:t>为贯彻落实中央、省和市委、市政府关于巩固拓展脱贫攻坚成果同乡村振兴有效衔接的决策部署，加强过渡期内衔接推进乡村振兴补助资金（以下简称衔接资金）管理，根据《中华人民共和国预算法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中华人民共和国预算法实施条例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中央财政衔接推进乡村振兴补助资金管理办法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辽宁省衔接推进乡村振兴补助资金管理办法》等有关规定，结合我市实际，制定本细则。</w:t>
      </w:r>
    </w:p>
    <w:p w14:paraId="2E064096">
      <w:pPr>
        <w:ind w:firstLine="627" w:firstLineChars="196"/>
        <w:rPr>
          <w:rFonts w:hint="eastAsia" w:ascii="仿宋_GB2312" w:hAnsi="仿宋_GB2312" w:eastAsia="仿宋_GB2312" w:cs="仿宋_GB2312"/>
          <w:color w:val="auto"/>
          <w:sz w:val="32"/>
          <w:szCs w:val="32"/>
        </w:rPr>
      </w:pPr>
      <w:r>
        <w:rPr>
          <w:rFonts w:hint="eastAsia" w:ascii="黑体" w:hAnsi="黑体" w:eastAsia="黑体" w:cs="黑体"/>
          <w:b w:val="0"/>
          <w:bCs/>
          <w:color w:val="auto"/>
          <w:sz w:val="32"/>
          <w:szCs w:val="32"/>
          <w:lang w:val="en-US" w:eastAsia="zh-CN"/>
        </w:rPr>
        <w:t xml:space="preserve">第二条 </w:t>
      </w:r>
      <w:r>
        <w:rPr>
          <w:rFonts w:hint="eastAsia" w:ascii="仿宋_GB2312" w:hAnsi="仿宋_GB2312" w:eastAsia="仿宋_GB2312" w:cs="仿宋_GB2312"/>
          <w:color w:val="auto"/>
          <w:sz w:val="32"/>
          <w:szCs w:val="32"/>
        </w:rPr>
        <w:t>本细则所指衔接资金是指中央、省财政通过转移支付补助我市和市财政预算安排的用于巩固拓展脱贫攻坚成果同乡村振兴有效衔接的资金。</w:t>
      </w:r>
    </w:p>
    <w:p w14:paraId="0FCC445E">
      <w:pPr>
        <w:ind w:firstLine="627" w:firstLineChars="196"/>
        <w:rPr>
          <w:color w:val="auto"/>
          <w:sz w:val="32"/>
          <w:szCs w:val="32"/>
        </w:rPr>
      </w:pPr>
      <w:r>
        <w:rPr>
          <w:rFonts w:hint="eastAsia" w:ascii="黑体" w:hAnsi="黑体" w:eastAsia="黑体" w:cs="黑体"/>
          <w:b w:val="0"/>
          <w:bCs/>
          <w:color w:val="auto"/>
          <w:sz w:val="32"/>
          <w:szCs w:val="32"/>
          <w:lang w:val="en-US" w:eastAsia="zh-CN"/>
        </w:rPr>
        <w:t>第三条</w:t>
      </w:r>
      <w:r>
        <w:rPr>
          <w:rFonts w:hint="eastAsia"/>
          <w:color w:val="auto"/>
          <w:sz w:val="32"/>
          <w:szCs w:val="32"/>
        </w:rPr>
        <w:t xml:space="preserve"> </w:t>
      </w:r>
      <w:r>
        <w:rPr>
          <w:rFonts w:hint="eastAsia" w:ascii="仿宋_GB2312" w:hAnsi="仿宋_GB2312" w:eastAsia="仿宋_GB2312" w:cs="仿宋_GB2312"/>
          <w:color w:val="auto"/>
          <w:sz w:val="32"/>
          <w:szCs w:val="32"/>
        </w:rPr>
        <w:t>各级财政部门负责预算安排、审核资金分配建议方案和下达资金，指导各级乡村振兴、发展改革、民族和宗教、农业农村、林草等行业主管部门（以下简称行业主管部门）及地方加强资金监管和绩效管理。各级行业主管部门负责提出资金分配建议方案、资金和项目使用管理、绩效管理、监督管理等工作，按照权责对等原则落实监管责任。</w:t>
      </w:r>
    </w:p>
    <w:p w14:paraId="49F19B4D">
      <w:pPr>
        <w:pStyle w:val="8"/>
        <w:numPr>
          <w:ilvl w:val="0"/>
          <w:numId w:val="0"/>
        </w:numPr>
        <w:ind w:leftChars="0"/>
        <w:jc w:val="center"/>
        <w:rPr>
          <w:b/>
          <w:color w:val="auto"/>
          <w:sz w:val="32"/>
          <w:szCs w:val="32"/>
        </w:rPr>
      </w:pPr>
      <w:r>
        <w:rPr>
          <w:rFonts w:hint="eastAsia" w:ascii="黑体" w:hAnsi="黑体" w:eastAsia="黑体" w:cs="黑体"/>
          <w:b w:val="0"/>
          <w:bCs/>
          <w:color w:val="auto"/>
          <w:sz w:val="32"/>
          <w:szCs w:val="32"/>
          <w:lang w:eastAsia="zh-CN"/>
        </w:rPr>
        <w:t xml:space="preserve">第二章 </w:t>
      </w:r>
      <w:r>
        <w:rPr>
          <w:rFonts w:hint="eastAsia" w:ascii="黑体" w:hAnsi="黑体" w:eastAsia="黑体" w:cs="黑体"/>
          <w:b w:val="0"/>
          <w:bCs/>
          <w:color w:val="auto"/>
          <w:sz w:val="32"/>
          <w:szCs w:val="32"/>
          <w:lang w:val="en-US" w:eastAsia="zh-CN"/>
        </w:rPr>
        <w:t xml:space="preserve">  </w:t>
      </w:r>
      <w:r>
        <w:rPr>
          <w:rFonts w:hint="eastAsia" w:ascii="黑体" w:hAnsi="黑体" w:eastAsia="黑体" w:cs="黑体"/>
          <w:b w:val="0"/>
          <w:bCs/>
          <w:color w:val="auto"/>
          <w:sz w:val="32"/>
          <w:szCs w:val="32"/>
          <w:lang w:eastAsia="zh-CN"/>
        </w:rPr>
        <w:t>资金支出范围</w:t>
      </w:r>
    </w:p>
    <w:p w14:paraId="051769A9">
      <w:pPr>
        <w:ind w:firstLine="640" w:firstLineChars="200"/>
        <w:rPr>
          <w:rFonts w:hint="eastAsia" w:ascii="仿宋_GB2312" w:hAnsi="仿宋_GB2312" w:eastAsia="仿宋_GB2312" w:cs="仿宋_GB2312"/>
          <w:color w:val="auto"/>
          <w:sz w:val="32"/>
          <w:szCs w:val="32"/>
        </w:rPr>
      </w:pPr>
      <w:r>
        <w:rPr>
          <w:rFonts w:hint="eastAsia" w:ascii="黑体" w:hAnsi="黑体" w:eastAsia="黑体" w:cs="黑体"/>
          <w:b w:val="0"/>
          <w:bCs/>
          <w:color w:val="auto"/>
          <w:sz w:val="32"/>
          <w:szCs w:val="32"/>
          <w:lang w:val="en-US" w:eastAsia="zh-CN"/>
        </w:rPr>
        <w:t>第四条</w:t>
      </w:r>
      <w:r>
        <w:rPr>
          <w:rFonts w:hint="eastAsia"/>
          <w:b/>
          <w:color w:val="auto"/>
          <w:sz w:val="32"/>
          <w:szCs w:val="32"/>
          <w:lang w:val="en-US" w:eastAsia="zh-CN"/>
        </w:rPr>
        <w:t xml:space="preserve"> </w:t>
      </w:r>
      <w:r>
        <w:rPr>
          <w:rFonts w:hint="eastAsia" w:ascii="仿宋_GB2312" w:hAnsi="仿宋_GB2312" w:eastAsia="仿宋_GB2312" w:cs="仿宋_GB2312"/>
          <w:color w:val="auto"/>
          <w:sz w:val="32"/>
          <w:szCs w:val="32"/>
        </w:rPr>
        <w:t>衔接资金用于支持各地区巩固拓展脱贫攻坚成果同乡村振兴有效衔接，具体包括以下三个方面：</w:t>
      </w:r>
    </w:p>
    <w:p w14:paraId="68DFB1B3">
      <w:pPr>
        <w:pStyle w:val="8"/>
        <w:numPr>
          <w:ilvl w:val="0"/>
          <w:numId w:val="0"/>
        </w:numPr>
        <w:ind w:left="640" w:left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支持巩固拓展脱贫攻坚成果</w:t>
      </w:r>
      <w:r>
        <w:rPr>
          <w:rFonts w:hint="eastAsia" w:ascii="仿宋_GB2312" w:hAnsi="仿宋_GB2312" w:eastAsia="仿宋_GB2312" w:cs="仿宋_GB2312"/>
          <w:color w:val="auto"/>
          <w:sz w:val="32"/>
          <w:szCs w:val="32"/>
          <w:lang w:eastAsia="zh-CN"/>
        </w:rPr>
        <w:t>。</w:t>
      </w:r>
    </w:p>
    <w:p w14:paraId="284B619D">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1.健全防止返贫</w:t>
      </w:r>
      <w:r>
        <w:rPr>
          <w:rFonts w:hint="eastAsia" w:ascii="仿宋_GB2312" w:hAnsi="仿宋_GB2312" w:eastAsia="仿宋_GB2312" w:cs="仿宋_GB2312"/>
          <w:color w:val="auto"/>
          <w:sz w:val="32"/>
          <w:szCs w:val="32"/>
          <w:lang w:val="en-US" w:eastAsia="zh-CN"/>
        </w:rPr>
        <w:t>致贫</w:t>
      </w:r>
      <w:r>
        <w:rPr>
          <w:rFonts w:hint="eastAsia" w:ascii="仿宋_GB2312" w:hAnsi="仿宋_GB2312" w:eastAsia="仿宋_GB2312" w:cs="仿宋_GB2312"/>
          <w:color w:val="auto"/>
          <w:sz w:val="32"/>
          <w:szCs w:val="32"/>
        </w:rPr>
        <w:t>监测和帮扶机制，加强监测预警，强化及时帮扶，对监测帮扶对象采取有针对性的预防性措施和事后帮扶措施。可安排产业发展、小额信贷贴息、生产经营和劳动技能培训、公益岗位补助等支出。低保、医保、养老保险、临时救助等综合保障措施，通过原资金渠道支持。监测预警工作经费通过各级部门预算安排。</w:t>
      </w:r>
    </w:p>
    <w:p w14:paraId="3B1C6967">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外出务工脱贫劳动力（含监测帮扶对象）稳定就业，可对跨省就业的脱贫劳动力适当安排一次性交通补助。采取扶贫车间、以工代赈、生产奖补、劳务补助等方式，促进返乡在乡脱贫劳动力发展产业和就业增收。结合实际用于吸纳中西部脱贫人口跨省就业。继续向符合条件的脱贫家庭（含监测帮扶对象家庭）安排“雨露计划”</w:t>
      </w:r>
      <w:r>
        <w:rPr>
          <w:rFonts w:hint="eastAsia" w:ascii="仿宋_GB2312" w:hAnsi="仿宋_GB2312" w:eastAsia="仿宋_GB2312" w:cs="仿宋_GB2312"/>
          <w:color w:val="auto"/>
          <w:sz w:val="32"/>
          <w:szCs w:val="32"/>
          <w:lang w:eastAsia="zh-CN"/>
        </w:rPr>
        <w:t>补助</w:t>
      </w:r>
      <w:r>
        <w:rPr>
          <w:rFonts w:hint="eastAsia" w:ascii="仿宋_GB2312" w:hAnsi="仿宋_GB2312" w:eastAsia="仿宋_GB2312" w:cs="仿宋_GB2312"/>
          <w:color w:val="auto"/>
          <w:sz w:val="32"/>
          <w:szCs w:val="32"/>
        </w:rPr>
        <w:t>。</w:t>
      </w:r>
    </w:p>
    <w:p w14:paraId="343E48C7">
      <w:pPr>
        <w:pStyle w:val="8"/>
        <w:numPr>
          <w:ilvl w:val="0"/>
          <w:numId w:val="0"/>
        </w:numPr>
        <w:ind w:left="640" w:left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支持衔接推进乡村振兴</w:t>
      </w:r>
      <w:r>
        <w:rPr>
          <w:rFonts w:hint="eastAsia" w:ascii="仿宋_GB2312" w:hAnsi="仿宋_GB2312" w:eastAsia="仿宋_GB2312" w:cs="仿宋_GB2312"/>
          <w:color w:val="auto"/>
          <w:sz w:val="32"/>
          <w:szCs w:val="32"/>
          <w:lang w:eastAsia="zh-CN"/>
        </w:rPr>
        <w:t>。</w:t>
      </w:r>
    </w:p>
    <w:p w14:paraId="1E209BBA">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1.培育</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壮大欠发达地区特色优势产业并逐年提高资金占比，支持农业品种培优、品质提升、品牌打造。推动产销对接和消费帮扶，解决农产品“卖难”问题。</w:t>
      </w:r>
      <w:r>
        <w:rPr>
          <w:rFonts w:hint="eastAsia" w:ascii="仿宋_GB2312" w:hAnsi="仿宋_GB2312" w:eastAsia="仿宋_GB2312" w:cs="仿宋_GB2312"/>
          <w:color w:val="auto"/>
          <w:sz w:val="32"/>
          <w:szCs w:val="32"/>
          <w:lang w:eastAsia="zh-CN"/>
        </w:rPr>
        <w:t>支持</w:t>
      </w:r>
      <w:r>
        <w:rPr>
          <w:rFonts w:hint="eastAsia" w:ascii="仿宋_GB2312" w:hAnsi="仿宋_GB2312" w:eastAsia="仿宋_GB2312" w:cs="仿宋_GB2312"/>
          <w:color w:val="auto"/>
          <w:sz w:val="32"/>
          <w:szCs w:val="32"/>
        </w:rPr>
        <w:t>必要的产业配套基础设施建设。支持脱贫村发展壮大村集体经济。</w:t>
      </w:r>
    </w:p>
    <w:p w14:paraId="60C897F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2.补齐必要的农村人居环境整治和小型公益性基础设施建设短板，主要包括水、电、路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网等农业生产配套设施，以及垃圾清运等小型公益性生活设施。教育、卫生、养老服务、文化等农村基本公共服务通过原资金渠道支持。</w:t>
      </w:r>
    </w:p>
    <w:p w14:paraId="40735991">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3.支持人口较少民族发展、少数民族特色产业和民族村发展、以工代赈项目、欠发达国有农场和欠发达国有林场发展。</w:t>
      </w:r>
    </w:p>
    <w:p w14:paraId="2CE39F59">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（三）符合中央、省、市政策要求的巩固拓展脱贫攻坚成果同乡村振兴有效衔接的其他相关支出</w:t>
      </w:r>
      <w:r>
        <w:rPr>
          <w:rFonts w:hint="eastAsia" w:ascii="仿宋_GB2312" w:hAnsi="仿宋_GB2312" w:eastAsia="仿宋_GB2312" w:cs="仿宋_GB2312"/>
          <w:color w:val="auto"/>
          <w:sz w:val="32"/>
          <w:szCs w:val="32"/>
          <w:lang w:eastAsia="zh-CN"/>
        </w:rPr>
        <w:t>。</w:t>
      </w:r>
    </w:p>
    <w:p w14:paraId="7DB79C72">
      <w:pPr>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b w:val="0"/>
          <w:bCs/>
          <w:color w:val="auto"/>
          <w:sz w:val="32"/>
          <w:szCs w:val="32"/>
          <w:lang w:val="en-US" w:eastAsia="zh-CN"/>
        </w:rPr>
        <w:t>第五条</w:t>
      </w:r>
      <w:r>
        <w:rPr>
          <w:rFonts w:hint="eastAsia"/>
          <w:b/>
          <w:color w:val="auto"/>
          <w:sz w:val="32"/>
          <w:szCs w:val="32"/>
          <w:highlight w:val="none"/>
        </w:rPr>
        <w:t xml:space="preserve"> </w:t>
      </w:r>
      <w:r>
        <w:rPr>
          <w:rFonts w:hint="eastAsia" w:ascii="仿宋_GB2312" w:hAnsi="仿宋_GB2312" w:eastAsia="仿宋_GB2312" w:cs="仿宋_GB2312"/>
          <w:color w:val="auto"/>
          <w:sz w:val="32"/>
          <w:szCs w:val="32"/>
          <w:highlight w:val="none"/>
        </w:rPr>
        <w:t>衔接资金不得用于与巩固拓展脱贫攻坚成果和推进欠发达地区乡村振兴无关的支出，包括：单位基本支出、交通工具及通讯设备、修建楼堂馆所、各种奖金津贴和福利补助、偿还债务和垫资等，以及中央财政相关转移支付配套。</w:t>
      </w:r>
    </w:p>
    <w:p w14:paraId="26C5325B">
      <w:pPr>
        <w:ind w:firstLine="640" w:firstLineChars="200"/>
        <w:rPr>
          <w:color w:val="auto"/>
          <w:sz w:val="32"/>
          <w:szCs w:val="32"/>
        </w:rPr>
      </w:pPr>
      <w:r>
        <w:rPr>
          <w:rFonts w:hint="eastAsia" w:ascii="黑体" w:hAnsi="黑体" w:eastAsia="黑体" w:cs="黑体"/>
          <w:b w:val="0"/>
          <w:bCs/>
          <w:color w:val="auto"/>
          <w:sz w:val="32"/>
          <w:szCs w:val="32"/>
          <w:lang w:val="en-US" w:eastAsia="zh-CN"/>
        </w:rPr>
        <w:t xml:space="preserve">第六条 </w:t>
      </w:r>
      <w:r>
        <w:rPr>
          <w:rFonts w:hint="eastAsia" w:ascii="仿宋_GB2312" w:hAnsi="仿宋_GB2312" w:eastAsia="仿宋_GB2312" w:cs="仿宋_GB2312"/>
          <w:color w:val="auto"/>
          <w:sz w:val="32"/>
          <w:szCs w:val="32"/>
        </w:rPr>
        <w:t>衔接资金应当与农业生产发展</w:t>
      </w:r>
      <w:r>
        <w:rPr>
          <w:rFonts w:hint="eastAsia" w:ascii="仿宋_GB2312" w:hAnsi="仿宋_GB2312" w:eastAsia="仿宋_GB2312" w:cs="仿宋_GB2312"/>
          <w:color w:val="auto"/>
          <w:sz w:val="32"/>
          <w:szCs w:val="32"/>
          <w:lang w:eastAsia="zh-CN"/>
        </w:rPr>
        <w:t>资金</w:t>
      </w:r>
      <w:r>
        <w:rPr>
          <w:rFonts w:hint="eastAsia" w:ascii="仿宋_GB2312" w:hAnsi="仿宋_GB2312" w:eastAsia="仿宋_GB2312" w:cs="仿宋_GB2312"/>
          <w:color w:val="auto"/>
          <w:sz w:val="32"/>
          <w:szCs w:val="32"/>
        </w:rPr>
        <w:t>、农业资源及生态保护补助</w:t>
      </w:r>
      <w:r>
        <w:rPr>
          <w:rFonts w:hint="eastAsia" w:ascii="仿宋_GB2312" w:hAnsi="仿宋_GB2312" w:eastAsia="仿宋_GB2312" w:cs="仿宋_GB2312"/>
          <w:color w:val="auto"/>
          <w:sz w:val="32"/>
          <w:szCs w:val="32"/>
          <w:lang w:eastAsia="zh-CN"/>
        </w:rPr>
        <w:t>资金</w:t>
      </w:r>
      <w:r>
        <w:rPr>
          <w:rFonts w:hint="eastAsia" w:ascii="仿宋_GB2312" w:hAnsi="仿宋_GB2312" w:eastAsia="仿宋_GB2312" w:cs="仿宋_GB2312"/>
          <w:color w:val="auto"/>
          <w:sz w:val="32"/>
          <w:szCs w:val="32"/>
        </w:rPr>
        <w:t>等相关乡村振兴的财政资金统筹安排使用，聚焦短板和弱项，形成合力，支持巩固拓展脱贫攻坚成果和推进乡村振兴，充分发挥使用效益。</w:t>
      </w:r>
    </w:p>
    <w:p w14:paraId="22B1CDF8">
      <w:pPr>
        <w:pStyle w:val="8"/>
        <w:numPr>
          <w:ilvl w:val="0"/>
          <w:numId w:val="0"/>
        </w:numPr>
        <w:ind w:leftChars="0"/>
        <w:jc w:val="center"/>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第三章</w:t>
      </w:r>
      <w:r>
        <w:rPr>
          <w:rFonts w:hint="eastAsia" w:ascii="黑体" w:hAnsi="黑体" w:eastAsia="黑体" w:cs="黑体"/>
          <w:b w:val="0"/>
          <w:bCs/>
          <w:color w:val="auto"/>
          <w:sz w:val="32"/>
          <w:szCs w:val="32"/>
          <w:lang w:val="en-US" w:eastAsia="zh-CN"/>
        </w:rPr>
        <w:t xml:space="preserve">   </w:t>
      </w:r>
      <w:r>
        <w:rPr>
          <w:rFonts w:hint="eastAsia" w:ascii="黑体" w:hAnsi="黑体" w:eastAsia="黑体" w:cs="黑体"/>
          <w:b w:val="0"/>
          <w:bCs/>
          <w:color w:val="auto"/>
          <w:sz w:val="32"/>
          <w:szCs w:val="32"/>
          <w:lang w:eastAsia="zh-CN"/>
        </w:rPr>
        <w:t>资金分配与使用</w:t>
      </w:r>
    </w:p>
    <w:p w14:paraId="30F3EA81">
      <w:pPr>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b w:val="0"/>
          <w:bCs/>
          <w:color w:val="auto"/>
          <w:sz w:val="32"/>
          <w:szCs w:val="32"/>
          <w:lang w:val="en-US" w:eastAsia="zh-CN"/>
        </w:rPr>
        <w:t>第七条</w:t>
      </w:r>
      <w:r>
        <w:rPr>
          <w:rFonts w:hint="eastAsia"/>
          <w:color w:val="auto"/>
          <w:sz w:val="32"/>
          <w:szCs w:val="32"/>
        </w:rPr>
        <w:t xml:space="preserve"> </w:t>
      </w:r>
      <w:r>
        <w:rPr>
          <w:rFonts w:hint="eastAsia" w:ascii="仿宋_GB2312" w:hAnsi="仿宋_GB2312" w:eastAsia="仿宋_GB2312" w:cs="仿宋_GB2312"/>
          <w:color w:val="auto"/>
          <w:sz w:val="32"/>
          <w:szCs w:val="32"/>
        </w:rPr>
        <w:t>衔接资金按照巩固拓展脱贫攻坚成果和乡村</w:t>
      </w:r>
      <w:r>
        <w:rPr>
          <w:rFonts w:hint="eastAsia" w:ascii="仿宋_GB2312" w:hAnsi="仿宋_GB2312" w:eastAsia="仿宋_GB2312" w:cs="仿宋_GB2312"/>
          <w:color w:val="auto"/>
          <w:sz w:val="32"/>
          <w:szCs w:val="32"/>
          <w:lang w:eastAsia="zh-CN"/>
        </w:rPr>
        <w:t>振兴、</w:t>
      </w:r>
      <w:r>
        <w:rPr>
          <w:rFonts w:hint="eastAsia" w:ascii="仿宋_GB2312" w:hAnsi="仿宋_GB2312" w:eastAsia="仿宋_GB2312" w:cs="仿宋_GB2312"/>
          <w:color w:val="auto"/>
          <w:sz w:val="32"/>
          <w:szCs w:val="32"/>
        </w:rPr>
        <w:t>以工代赈、少数民族发展、欠发达国有农场和国有林场巩固提升任务等采取因素法进行分配，统筹兼顾脱贫县和非贫困县实际情况，对省级乡村振兴重点帮扶县予以倾斜，推动均衡发展。</w:t>
      </w:r>
      <w:r>
        <w:rPr>
          <w:rFonts w:hint="eastAsia" w:ascii="仿宋_GB2312" w:hAnsi="仿宋_GB2312" w:eastAsia="仿宋_GB2312" w:cs="仿宋_GB2312"/>
          <w:color w:val="auto"/>
          <w:sz w:val="32"/>
          <w:szCs w:val="32"/>
          <w:highlight w:val="none"/>
        </w:rPr>
        <w:t>资金分配方面，上级有明确分配意见的按照上级分配意见执行。上级没有明确分配意见的按照因素法进行测算，因素和权重</w:t>
      </w:r>
      <w:r>
        <w:rPr>
          <w:rFonts w:hint="eastAsia" w:ascii="仿宋_GB2312" w:hAnsi="仿宋_GB2312" w:eastAsia="仿宋_GB2312" w:cs="仿宋_GB2312"/>
          <w:color w:val="auto"/>
          <w:sz w:val="32"/>
          <w:szCs w:val="32"/>
          <w:highlight w:val="none"/>
          <w:lang w:eastAsia="zh-CN"/>
        </w:rPr>
        <w:t>包括</w:t>
      </w:r>
      <w:r>
        <w:rPr>
          <w:rFonts w:hint="eastAsia" w:ascii="仿宋_GB2312" w:hAnsi="仿宋_GB2312" w:eastAsia="仿宋_GB2312" w:cs="仿宋_GB2312"/>
          <w:color w:val="auto"/>
          <w:sz w:val="32"/>
          <w:szCs w:val="32"/>
          <w:highlight w:val="none"/>
        </w:rPr>
        <w:t>相关人群数量及结构、相关人群收入、政策因素</w:t>
      </w:r>
      <w:r>
        <w:rPr>
          <w:rFonts w:hint="eastAsia" w:ascii="仿宋_GB2312" w:hAnsi="仿宋_GB2312" w:eastAsia="仿宋_GB2312" w:cs="仿宋_GB2312"/>
          <w:color w:val="auto"/>
          <w:sz w:val="32"/>
          <w:szCs w:val="32"/>
          <w:highlight w:val="none"/>
          <w:lang w:eastAsia="zh-CN"/>
        </w:rPr>
        <w:t>和</w:t>
      </w:r>
      <w:r>
        <w:rPr>
          <w:rFonts w:hint="eastAsia" w:ascii="仿宋_GB2312" w:hAnsi="仿宋_GB2312" w:eastAsia="仿宋_GB2312" w:cs="仿宋_GB2312"/>
          <w:color w:val="auto"/>
          <w:sz w:val="32"/>
          <w:szCs w:val="32"/>
          <w:highlight w:val="none"/>
        </w:rPr>
        <w:t>绩效考核结果</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rPr>
        <w:t>。具体因素和权重由</w:t>
      </w:r>
      <w:r>
        <w:rPr>
          <w:rFonts w:hint="eastAsia" w:ascii="仿宋_GB2312" w:hAnsi="仿宋_GB2312" w:eastAsia="仿宋_GB2312" w:cs="仿宋_GB2312"/>
          <w:color w:val="auto"/>
          <w:sz w:val="32"/>
          <w:szCs w:val="32"/>
          <w:highlight w:val="none"/>
          <w:lang w:eastAsia="zh-CN"/>
        </w:rPr>
        <w:t>行业主管部门会同财政部门</w:t>
      </w:r>
      <w:r>
        <w:rPr>
          <w:rFonts w:hint="eastAsia" w:ascii="仿宋_GB2312" w:hAnsi="仿宋_GB2312" w:eastAsia="仿宋_GB2312" w:cs="仿宋_GB2312"/>
          <w:color w:val="auto"/>
          <w:sz w:val="32"/>
          <w:szCs w:val="32"/>
          <w:highlight w:val="none"/>
        </w:rPr>
        <w:t>结合年度工作任务和实际情况进行综合平衡确定。</w:t>
      </w:r>
    </w:p>
    <w:p w14:paraId="27ECBCA2">
      <w:pPr>
        <w:ind w:firstLine="640" w:firstLineChars="200"/>
        <w:rPr>
          <w:rFonts w:hint="eastAsia" w:ascii="仿宋_GB2312" w:hAnsi="仿宋_GB2312" w:eastAsia="仿宋_GB2312" w:cs="仿宋_GB2312"/>
          <w:color w:val="auto"/>
          <w:sz w:val="32"/>
          <w:szCs w:val="32"/>
        </w:rPr>
      </w:pPr>
      <w:r>
        <w:rPr>
          <w:rFonts w:hint="eastAsia" w:ascii="黑体" w:hAnsi="黑体" w:eastAsia="黑体" w:cs="黑体"/>
          <w:b w:val="0"/>
          <w:bCs/>
          <w:color w:val="auto"/>
          <w:sz w:val="32"/>
          <w:szCs w:val="32"/>
          <w:lang w:val="en-US" w:eastAsia="zh-CN"/>
        </w:rPr>
        <w:t xml:space="preserve">第八条 </w:t>
      </w:r>
      <w:r>
        <w:rPr>
          <w:rFonts w:hint="eastAsia" w:ascii="仿宋_GB2312" w:hAnsi="仿宋_GB2312" w:eastAsia="仿宋_GB2312" w:cs="仿宋_GB2312"/>
          <w:color w:val="auto"/>
          <w:sz w:val="32"/>
          <w:szCs w:val="32"/>
        </w:rPr>
        <w:t>中央、省财政衔接资金下达</w:t>
      </w:r>
      <w:r>
        <w:rPr>
          <w:rFonts w:hint="eastAsia" w:ascii="仿宋_GB2312" w:hAnsi="仿宋_GB2312" w:eastAsia="仿宋_GB2312" w:cs="仿宋_GB2312"/>
          <w:color w:val="auto"/>
          <w:sz w:val="32"/>
          <w:szCs w:val="32"/>
          <w:lang w:eastAsia="zh-CN"/>
        </w:rPr>
        <w:t>和市财政衔接资金预算通过市人代会审议通过后，</w:t>
      </w:r>
      <w:r>
        <w:rPr>
          <w:rFonts w:hint="eastAsia" w:ascii="仿宋_GB2312" w:hAnsi="仿宋_GB2312" w:eastAsia="仿宋_GB2312" w:cs="仿宋_GB2312"/>
          <w:color w:val="auto"/>
          <w:sz w:val="32"/>
          <w:szCs w:val="32"/>
        </w:rPr>
        <w:t>市行业主管部门要</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日内提出资金分配建议方案，市财政局</w:t>
      </w:r>
      <w:r>
        <w:rPr>
          <w:rFonts w:hint="eastAsia" w:ascii="仿宋_GB2312" w:hAnsi="仿宋_GB2312" w:eastAsia="仿宋_GB2312" w:cs="仿宋_GB2312"/>
          <w:color w:val="auto"/>
          <w:sz w:val="32"/>
          <w:szCs w:val="32"/>
          <w:lang w:eastAsia="zh-CN"/>
        </w:rPr>
        <w:t>对</w:t>
      </w:r>
      <w:r>
        <w:rPr>
          <w:rFonts w:hint="eastAsia" w:ascii="仿宋_GB2312" w:hAnsi="仿宋_GB2312" w:eastAsia="仿宋_GB2312" w:cs="仿宋_GB2312"/>
          <w:color w:val="auto"/>
          <w:sz w:val="32"/>
          <w:szCs w:val="32"/>
        </w:rPr>
        <w:t>行业主管部门资金分配建议方案</w:t>
      </w:r>
      <w:r>
        <w:rPr>
          <w:rFonts w:hint="eastAsia" w:ascii="仿宋_GB2312" w:hAnsi="仿宋_GB2312" w:eastAsia="仿宋_GB2312" w:cs="仿宋_GB2312"/>
          <w:color w:val="auto"/>
          <w:sz w:val="32"/>
          <w:szCs w:val="32"/>
          <w:lang w:eastAsia="zh-CN"/>
        </w:rPr>
        <w:t>进行审核</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行业主管部门将审核后资金分配方案上报市政府研究确定，市财政局</w:t>
      </w:r>
      <w:r>
        <w:rPr>
          <w:rFonts w:hint="eastAsia" w:ascii="仿宋_GB2312" w:hAnsi="仿宋_GB2312" w:eastAsia="仿宋_GB2312" w:cs="仿宋_GB2312"/>
          <w:color w:val="auto"/>
          <w:sz w:val="32"/>
          <w:szCs w:val="32"/>
        </w:rPr>
        <w:t>在规定时限内下达资金预算指标。</w:t>
      </w:r>
    </w:p>
    <w:p w14:paraId="03AE17A2">
      <w:pPr>
        <w:ind w:firstLine="640" w:firstLineChars="200"/>
        <w:rPr>
          <w:rFonts w:hint="eastAsia" w:ascii="黑体" w:hAnsi="黑体" w:eastAsia="黑体" w:cs="黑体"/>
          <w:b/>
          <w:bCs/>
          <w:color w:val="auto"/>
          <w:sz w:val="32"/>
          <w:szCs w:val="32"/>
          <w:lang w:eastAsia="zh-CN"/>
        </w:rPr>
      </w:pPr>
      <w:r>
        <w:rPr>
          <w:rFonts w:hint="eastAsia" w:ascii="黑体" w:hAnsi="黑体" w:eastAsia="黑体" w:cs="黑体"/>
          <w:b w:val="0"/>
          <w:bCs/>
          <w:color w:val="auto"/>
          <w:sz w:val="32"/>
          <w:szCs w:val="32"/>
          <w:lang w:val="en-US" w:eastAsia="zh-CN"/>
        </w:rPr>
        <w:t xml:space="preserve">第九条 </w:t>
      </w:r>
      <w:r>
        <w:rPr>
          <w:rFonts w:hint="eastAsia" w:ascii="仿宋_GB2312" w:hAnsi="仿宋_GB2312" w:eastAsia="仿宋_GB2312" w:cs="仿宋_GB2312"/>
          <w:color w:val="auto"/>
          <w:sz w:val="32"/>
          <w:szCs w:val="32"/>
        </w:rPr>
        <w:t>衔接资金实行责任、权力、任务、资金“四到县”，项目审批权限下放到县级，强化县级管理责任。</w:t>
      </w:r>
      <w:r>
        <w:rPr>
          <w:rFonts w:hint="eastAsia" w:ascii="仿宋_GB2312" w:hAnsi="仿宋_GB2312" w:eastAsia="仿宋_GB2312" w:cs="仿宋_GB2312"/>
          <w:b w:val="0"/>
          <w:bCs w:val="0"/>
          <w:color w:val="auto"/>
          <w:sz w:val="32"/>
          <w:szCs w:val="32"/>
          <w:lang w:eastAsia="zh-CN"/>
        </w:rPr>
        <w:t>中央、省和市级衔接资金要将产业发展作为支持重点，</w:t>
      </w:r>
      <w:r>
        <w:rPr>
          <w:rFonts w:hint="eastAsia" w:ascii="仿宋_GB2312" w:hAnsi="仿宋_GB2312" w:eastAsia="仿宋_GB2312" w:cs="仿宋_GB2312"/>
          <w:b w:val="0"/>
          <w:bCs w:val="0"/>
          <w:color w:val="auto"/>
          <w:sz w:val="32"/>
          <w:szCs w:val="32"/>
        </w:rPr>
        <w:t>县级可统筹</w:t>
      </w:r>
      <w:r>
        <w:rPr>
          <w:rFonts w:hint="eastAsia" w:ascii="仿宋_GB2312" w:hAnsi="仿宋_GB2312" w:eastAsia="仿宋_GB2312" w:cs="仿宋_GB2312"/>
          <w:color w:val="auto"/>
          <w:sz w:val="32"/>
          <w:szCs w:val="32"/>
        </w:rPr>
        <w:t>安排不超过30%的到县衔接资金，支持非贫困村发展产业、补齐必要的基础设施短板及县级乡村振兴规划项目。</w:t>
      </w:r>
      <w:r>
        <w:rPr>
          <w:rFonts w:hint="eastAsia" w:ascii="仿宋_GB2312" w:hAnsi="仿宋_GB2312" w:eastAsia="仿宋_GB2312" w:cs="仿宋_GB2312"/>
          <w:color w:val="auto"/>
          <w:sz w:val="32"/>
          <w:szCs w:val="32"/>
          <w:lang w:eastAsia="zh-CN"/>
        </w:rPr>
        <w:t>市级衔接资金支持产业发展比例不得低于</w:t>
      </w:r>
      <w:r>
        <w:rPr>
          <w:rFonts w:hint="eastAsia" w:ascii="仿宋_GB2312" w:hAnsi="仿宋_GB2312" w:eastAsia="仿宋_GB2312" w:cs="仿宋_GB2312"/>
          <w:color w:val="auto"/>
          <w:sz w:val="32"/>
          <w:szCs w:val="32"/>
          <w:lang w:val="en-US" w:eastAsia="zh-CN"/>
        </w:rPr>
        <w:t>70%，</w:t>
      </w:r>
      <w:r>
        <w:rPr>
          <w:rFonts w:hint="eastAsia" w:ascii="仿宋_GB2312" w:hAnsi="仿宋_GB2312" w:eastAsia="仿宋_GB2312" w:cs="仿宋_GB2312"/>
          <w:color w:val="auto"/>
          <w:sz w:val="32"/>
          <w:szCs w:val="32"/>
          <w:lang w:eastAsia="zh-CN"/>
        </w:rPr>
        <w:t>具体比例由县级结合当地实际情况确定。</w:t>
      </w:r>
    </w:p>
    <w:p w14:paraId="634F9B90">
      <w:pPr>
        <w:ind w:firstLine="640" w:firstLineChars="200"/>
        <w:rPr>
          <w:rFonts w:hint="eastAsia" w:ascii="仿宋_GB2312" w:hAnsi="仿宋_GB2312" w:eastAsia="仿宋_GB2312" w:cs="仿宋_GB2312"/>
          <w:color w:val="auto"/>
          <w:sz w:val="32"/>
          <w:szCs w:val="32"/>
        </w:rPr>
      </w:pPr>
      <w:r>
        <w:rPr>
          <w:rFonts w:hint="eastAsia" w:ascii="黑体" w:hAnsi="黑体" w:eastAsia="黑体" w:cs="黑体"/>
          <w:b w:val="0"/>
          <w:bCs/>
          <w:color w:val="auto"/>
          <w:sz w:val="32"/>
          <w:szCs w:val="32"/>
          <w:lang w:val="en-US" w:eastAsia="zh-CN"/>
        </w:rPr>
        <w:t>第十条</w:t>
      </w:r>
      <w:r>
        <w:rPr>
          <w:rFonts w:hint="eastAsia"/>
          <w:color w:val="auto"/>
          <w:sz w:val="32"/>
          <w:szCs w:val="32"/>
        </w:rPr>
        <w:t xml:space="preserve"> </w:t>
      </w:r>
      <w:r>
        <w:rPr>
          <w:rFonts w:hint="eastAsia" w:ascii="仿宋_GB2312" w:hAnsi="仿宋_GB2312" w:eastAsia="仿宋_GB2312" w:cs="仿宋_GB2312"/>
          <w:color w:val="auto"/>
          <w:sz w:val="32"/>
          <w:szCs w:val="32"/>
        </w:rPr>
        <w:t>各级行业主管部门要建立完善巩固拓展脱贫攻坚成果和乡村振兴项目库，提前做好项目储备</w:t>
      </w:r>
      <w:r>
        <w:rPr>
          <w:rFonts w:hint="eastAsia" w:ascii="仿宋_GB2312" w:hAnsi="仿宋_GB2312" w:eastAsia="仿宋_GB2312" w:cs="仿宋_GB2312"/>
          <w:color w:val="auto"/>
          <w:sz w:val="32"/>
          <w:szCs w:val="32"/>
          <w:lang w:eastAsia="zh-CN"/>
        </w:rPr>
        <w:t>，项目库实行动态管理，</w:t>
      </w:r>
      <w:r>
        <w:rPr>
          <w:rFonts w:hint="eastAsia" w:ascii="仿宋_GB2312" w:hAnsi="仿宋_GB2312" w:eastAsia="仿宋_GB2312" w:cs="仿宋_GB2312"/>
          <w:color w:val="auto"/>
          <w:sz w:val="32"/>
          <w:szCs w:val="32"/>
        </w:rPr>
        <w:t>严格项目论证入库，</w:t>
      </w:r>
      <w:r>
        <w:rPr>
          <w:rFonts w:hint="eastAsia" w:ascii="仿宋_GB2312" w:hAnsi="仿宋_GB2312" w:eastAsia="仿宋_GB2312" w:cs="仿宋_GB2312"/>
          <w:color w:val="auto"/>
          <w:sz w:val="32"/>
          <w:szCs w:val="32"/>
          <w:lang w:eastAsia="zh-CN"/>
        </w:rPr>
        <w:t>建立县级审批上报市级备案制度，</w:t>
      </w:r>
      <w:r>
        <w:rPr>
          <w:rFonts w:hint="eastAsia" w:ascii="仿宋_GB2312" w:hAnsi="仿宋_GB2312" w:eastAsia="仿宋_GB2312" w:cs="仿宋_GB2312"/>
          <w:color w:val="auto"/>
          <w:sz w:val="32"/>
          <w:szCs w:val="32"/>
        </w:rPr>
        <w:t>衔接资金支持的项目从符合本</w:t>
      </w:r>
      <w:r>
        <w:rPr>
          <w:rFonts w:hint="eastAsia" w:ascii="仿宋_GB2312" w:hAnsi="仿宋_GB2312" w:eastAsia="仿宋_GB2312" w:cs="仿宋_GB2312"/>
          <w:color w:val="auto"/>
          <w:sz w:val="32"/>
          <w:szCs w:val="32"/>
          <w:lang w:val="en-US" w:eastAsia="zh-CN"/>
        </w:rPr>
        <w:t>细则</w:t>
      </w:r>
      <w:r>
        <w:rPr>
          <w:rFonts w:hint="eastAsia" w:ascii="仿宋_GB2312" w:hAnsi="仿宋_GB2312" w:eastAsia="仿宋_GB2312" w:cs="仿宋_GB2312"/>
          <w:color w:val="auto"/>
          <w:sz w:val="32"/>
          <w:szCs w:val="32"/>
        </w:rPr>
        <w:t>相关政策要求的项目库</w:t>
      </w:r>
      <w:r>
        <w:rPr>
          <w:rFonts w:hint="eastAsia" w:ascii="仿宋_GB2312" w:hAnsi="仿宋_GB2312" w:eastAsia="仿宋_GB2312" w:cs="仿宋_GB2312"/>
          <w:color w:val="auto"/>
          <w:sz w:val="32"/>
          <w:szCs w:val="32"/>
          <w:lang w:val="en-US" w:eastAsia="zh-CN"/>
        </w:rPr>
        <w:t>中</w:t>
      </w:r>
      <w:r>
        <w:rPr>
          <w:rFonts w:hint="eastAsia" w:ascii="仿宋_GB2312" w:hAnsi="仿宋_GB2312" w:eastAsia="仿宋_GB2312" w:cs="仿宋_GB2312"/>
          <w:color w:val="auto"/>
          <w:sz w:val="32"/>
          <w:szCs w:val="32"/>
        </w:rPr>
        <w:t>选择</w:t>
      </w:r>
      <w:r>
        <w:rPr>
          <w:rFonts w:hint="eastAsia" w:ascii="仿宋_GB2312" w:hAnsi="仿宋_GB2312" w:eastAsia="仿宋_GB2312" w:cs="仿宋_GB2312"/>
          <w:color w:val="auto"/>
          <w:sz w:val="32"/>
          <w:szCs w:val="32"/>
          <w:lang w:eastAsia="zh-CN"/>
        </w:rPr>
        <w:t>，县级在选择具体项目时，优先支持可通过土地流转、务工就业等方式，有效带动村集体、农户稳定增收的项目，未入库项目财政不予安排衔接资金</w:t>
      </w:r>
      <w:r>
        <w:rPr>
          <w:rFonts w:hint="eastAsia" w:ascii="仿宋_GB2312" w:hAnsi="仿宋_GB2312" w:eastAsia="仿宋_GB2312" w:cs="仿宋_GB2312"/>
          <w:color w:val="auto"/>
          <w:sz w:val="32"/>
          <w:szCs w:val="32"/>
        </w:rPr>
        <w:t>。</w:t>
      </w:r>
    </w:p>
    <w:p w14:paraId="6D7304C1">
      <w:pPr>
        <w:ind w:firstLine="640" w:firstLineChars="200"/>
        <w:rPr>
          <w:rFonts w:hint="eastAsia" w:ascii="仿宋_GB2312" w:hAnsi="仿宋_GB2312" w:eastAsia="仿宋_GB2312" w:cs="仿宋_GB2312"/>
          <w:color w:val="auto"/>
          <w:sz w:val="32"/>
          <w:szCs w:val="32"/>
        </w:rPr>
      </w:pPr>
      <w:r>
        <w:rPr>
          <w:rFonts w:hint="eastAsia" w:ascii="黑体" w:hAnsi="黑体" w:eastAsia="黑体" w:cs="黑体"/>
          <w:b w:val="0"/>
          <w:bCs/>
          <w:color w:val="auto"/>
          <w:sz w:val="32"/>
          <w:szCs w:val="32"/>
          <w:lang w:val="en-US" w:eastAsia="zh-CN"/>
        </w:rPr>
        <w:t>第十一条</w:t>
      </w:r>
      <w:r>
        <w:rPr>
          <w:rFonts w:hint="eastAsia"/>
          <w:color w:val="auto"/>
          <w:sz w:val="32"/>
          <w:szCs w:val="32"/>
        </w:rPr>
        <w:t xml:space="preserve"> </w:t>
      </w:r>
      <w:r>
        <w:rPr>
          <w:rFonts w:hint="eastAsia" w:ascii="仿宋_GB2312" w:hAnsi="仿宋_GB2312" w:eastAsia="仿宋_GB2312" w:cs="仿宋_GB2312"/>
          <w:color w:val="auto"/>
          <w:sz w:val="32"/>
          <w:szCs w:val="32"/>
        </w:rPr>
        <w:t>县级可按照不超过1%的比例从中央财政衔接资金中统筹安排并使用项目管理费。省财政衔接资金项目管理费由省统筹安排并分配下达到相关</w:t>
      </w:r>
      <w:r>
        <w:rPr>
          <w:rFonts w:hint="eastAsia" w:ascii="仿宋_GB2312" w:hAnsi="仿宋_GB2312" w:eastAsia="仿宋_GB2312" w:cs="仿宋_GB2312"/>
          <w:b w:val="0"/>
          <w:bCs w:val="0"/>
          <w:color w:val="auto"/>
          <w:sz w:val="32"/>
          <w:szCs w:val="32"/>
        </w:rPr>
        <w:t>市、县</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区</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w:t>
      </w:r>
    </w:p>
    <w:p w14:paraId="3B5D8949">
      <w:pPr>
        <w:ind w:firstLine="640" w:firstLineChars="200"/>
        <w:rPr>
          <w:color w:val="auto"/>
          <w:sz w:val="32"/>
          <w:szCs w:val="32"/>
        </w:rPr>
      </w:pPr>
      <w:r>
        <w:rPr>
          <w:rFonts w:hint="eastAsia" w:ascii="仿宋_GB2312" w:hAnsi="仿宋_GB2312" w:eastAsia="仿宋_GB2312" w:cs="仿宋_GB2312"/>
          <w:color w:val="auto"/>
          <w:sz w:val="32"/>
          <w:szCs w:val="32"/>
        </w:rPr>
        <w:t>项目管理费主要用于项目前期设计、评审、招标、监理、验收、委托业务以及项目库建设等与项目管理相关的支出。</w:t>
      </w:r>
    </w:p>
    <w:p w14:paraId="700BA1C9">
      <w:pPr>
        <w:pStyle w:val="8"/>
        <w:numPr>
          <w:ilvl w:val="0"/>
          <w:numId w:val="0"/>
        </w:numPr>
        <w:ind w:leftChars="0"/>
        <w:jc w:val="center"/>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第四章  资金管理与监督</w:t>
      </w:r>
    </w:p>
    <w:p w14:paraId="6F13002D">
      <w:pPr>
        <w:ind w:firstLine="640" w:firstLineChars="200"/>
        <w:rPr>
          <w:rFonts w:hint="eastAsia" w:ascii="仿宋_GB2312" w:hAnsi="仿宋_GB2312" w:eastAsia="仿宋_GB2312" w:cs="仿宋_GB2312"/>
          <w:color w:val="auto"/>
          <w:sz w:val="32"/>
          <w:szCs w:val="32"/>
        </w:rPr>
      </w:pPr>
      <w:r>
        <w:rPr>
          <w:rFonts w:hint="eastAsia" w:ascii="黑体" w:hAnsi="黑体" w:eastAsia="黑体" w:cs="黑体"/>
          <w:b w:val="0"/>
          <w:bCs/>
          <w:color w:val="auto"/>
          <w:sz w:val="32"/>
          <w:szCs w:val="32"/>
          <w:lang w:val="en-US" w:eastAsia="zh-CN"/>
        </w:rPr>
        <w:t xml:space="preserve">第十二条 </w:t>
      </w:r>
      <w:r>
        <w:rPr>
          <w:rFonts w:hint="eastAsia" w:ascii="仿宋_GB2312" w:hAnsi="仿宋_GB2312" w:eastAsia="仿宋_GB2312" w:cs="仿宋_GB2312"/>
          <w:color w:val="auto"/>
          <w:sz w:val="32"/>
          <w:szCs w:val="32"/>
        </w:rPr>
        <w:t>衔接资金的支付，按照国库集中支付制度有关规定执行。属于政府采购管理范围的，执行政府采购相关规定，村级微小型项目可按照村民民主议事方式直接委托村级组织自建自营，资金额度由县级自行确定。</w:t>
      </w:r>
    </w:p>
    <w:p w14:paraId="393B7471">
      <w:pPr>
        <w:ind w:firstLine="640" w:firstLineChars="200"/>
        <w:rPr>
          <w:rFonts w:hint="default" w:ascii="仿宋_GB2312" w:hAnsi="仿宋_GB2312" w:eastAsia="仿宋_GB2312" w:cs="仿宋_GB2312"/>
          <w:b w:val="0"/>
          <w:bCs w:val="0"/>
          <w:color w:val="auto"/>
          <w:sz w:val="32"/>
          <w:szCs w:val="32"/>
          <w:lang w:val="en-US" w:eastAsia="zh-CN"/>
        </w:rPr>
      </w:pPr>
      <w:r>
        <w:rPr>
          <w:rFonts w:hint="eastAsia" w:ascii="黑体" w:hAnsi="黑体" w:eastAsia="黑体" w:cs="黑体"/>
          <w:b w:val="0"/>
          <w:bCs/>
          <w:color w:val="auto"/>
          <w:sz w:val="32"/>
          <w:szCs w:val="32"/>
          <w:lang w:val="en-US" w:eastAsia="zh-CN"/>
        </w:rPr>
        <w:t xml:space="preserve">第十三条 </w:t>
      </w:r>
      <w:r>
        <w:rPr>
          <w:rFonts w:hint="eastAsia" w:ascii="仿宋_GB2312" w:hAnsi="仿宋_GB2312" w:eastAsia="仿宋_GB2312" w:cs="仿宋_GB2312"/>
          <w:b w:val="0"/>
          <w:bCs w:val="0"/>
          <w:color w:val="auto"/>
          <w:sz w:val="32"/>
          <w:szCs w:val="32"/>
          <w:lang w:val="en-US" w:eastAsia="zh-CN"/>
        </w:rPr>
        <w:t>项目实施单位根据建设进度和完成情况，凭合法有效材料向</w:t>
      </w:r>
      <w:r>
        <w:rPr>
          <w:rFonts w:hint="eastAsia" w:ascii="仿宋_GB2312" w:hAnsi="仿宋_GB2312" w:eastAsia="仿宋_GB2312" w:cs="仿宋_GB2312"/>
          <w:b w:val="0"/>
          <w:bCs w:val="0"/>
          <w:color w:val="auto"/>
          <w:sz w:val="32"/>
          <w:szCs w:val="32"/>
        </w:rPr>
        <w:t>县</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区</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行业主管部门</w:t>
      </w:r>
      <w:r>
        <w:rPr>
          <w:rFonts w:hint="eastAsia" w:ascii="仿宋_GB2312" w:hAnsi="仿宋_GB2312" w:eastAsia="仿宋_GB2312" w:cs="仿宋_GB2312"/>
          <w:color w:val="auto"/>
          <w:sz w:val="32"/>
          <w:szCs w:val="32"/>
          <w:lang w:val="en-US" w:eastAsia="zh-CN"/>
        </w:rPr>
        <w:t>提出用款申请，</w:t>
      </w:r>
      <w:r>
        <w:rPr>
          <w:rFonts w:hint="eastAsia" w:ascii="仿宋_GB2312" w:hAnsi="仿宋_GB2312" w:eastAsia="仿宋_GB2312" w:cs="仿宋_GB2312"/>
          <w:b w:val="0"/>
          <w:bCs w:val="0"/>
          <w:color w:val="auto"/>
          <w:sz w:val="32"/>
          <w:szCs w:val="32"/>
        </w:rPr>
        <w:t>县</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区</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行业主管部门</w:t>
      </w:r>
      <w:r>
        <w:rPr>
          <w:rFonts w:hint="eastAsia" w:ascii="仿宋_GB2312" w:hAnsi="仿宋_GB2312" w:eastAsia="仿宋_GB2312" w:cs="仿宋_GB2312"/>
          <w:color w:val="auto"/>
          <w:sz w:val="32"/>
          <w:szCs w:val="32"/>
          <w:lang w:val="en-US" w:eastAsia="zh-CN"/>
        </w:rPr>
        <w:t>可预留一定的质量保证金，财政部门按照财政国库管理制度等有关规定执行。</w:t>
      </w:r>
    </w:p>
    <w:p w14:paraId="5F98FF44">
      <w:pPr>
        <w:ind w:firstLine="640" w:firstLineChars="200"/>
        <w:rPr>
          <w:rFonts w:hint="eastAsia" w:ascii="仿宋_GB2312" w:hAnsi="仿宋_GB2312" w:eastAsia="仿宋_GB2312" w:cs="仿宋_GB2312"/>
          <w:color w:val="auto"/>
          <w:sz w:val="32"/>
          <w:szCs w:val="32"/>
        </w:rPr>
      </w:pPr>
      <w:r>
        <w:rPr>
          <w:rFonts w:hint="eastAsia" w:ascii="黑体" w:hAnsi="黑体" w:eastAsia="黑体" w:cs="黑体"/>
          <w:b w:val="0"/>
          <w:bCs/>
          <w:color w:val="auto"/>
          <w:sz w:val="32"/>
          <w:szCs w:val="32"/>
          <w:lang w:val="en-US" w:eastAsia="zh-CN"/>
        </w:rPr>
        <w:t xml:space="preserve">第十四条 </w:t>
      </w:r>
      <w:r>
        <w:rPr>
          <w:rFonts w:hint="eastAsia" w:ascii="仿宋_GB2312" w:hAnsi="仿宋_GB2312" w:eastAsia="仿宋_GB2312" w:cs="仿宋_GB2312"/>
          <w:color w:val="auto"/>
          <w:sz w:val="32"/>
          <w:szCs w:val="32"/>
        </w:rPr>
        <w:t>各级财政和行业主管部门要切实加强衔接资金和项目管理，落实绩效管理要求，全面推行公开公示制度，加强预算执行，提高资金使用效益。结转结余的衔接资金，按照国家、省和市结转结余资金管理相关规定处理。</w:t>
      </w:r>
    </w:p>
    <w:p w14:paraId="58BBF97C">
      <w:pPr>
        <w:ind w:firstLine="640" w:firstLineChars="200"/>
        <w:rPr>
          <w:rFonts w:hint="eastAsia" w:ascii="黑体" w:hAnsi="黑体" w:eastAsia="黑体" w:cs="黑体"/>
          <w:b w:val="0"/>
          <w:bCs w:val="0"/>
          <w:color w:val="auto"/>
          <w:sz w:val="32"/>
          <w:szCs w:val="32"/>
          <w:lang w:val="en-US" w:eastAsia="zh-CN"/>
        </w:rPr>
      </w:pPr>
      <w:r>
        <w:rPr>
          <w:rFonts w:hint="eastAsia" w:ascii="黑体" w:hAnsi="黑体" w:eastAsia="黑体" w:cs="黑体"/>
          <w:b w:val="0"/>
          <w:bCs/>
          <w:color w:val="auto"/>
          <w:sz w:val="32"/>
          <w:szCs w:val="32"/>
          <w:lang w:val="en-US" w:eastAsia="zh-CN"/>
        </w:rPr>
        <w:t xml:space="preserve">第十五条 </w:t>
      </w:r>
      <w:r>
        <w:rPr>
          <w:rFonts w:hint="eastAsia" w:ascii="仿宋_GB2312" w:hAnsi="仿宋_GB2312" w:eastAsia="仿宋_GB2312" w:cs="仿宋_GB2312"/>
          <w:color w:val="auto"/>
          <w:sz w:val="32"/>
          <w:szCs w:val="32"/>
          <w:lang w:val="en-US" w:eastAsia="zh-CN"/>
        </w:rPr>
        <w:t>实行对衔接资金使用管理定期检查和建立</w:t>
      </w:r>
      <w:bookmarkStart w:id="0" w:name="_GoBack"/>
      <w:r>
        <w:rPr>
          <w:rFonts w:hint="eastAsia" w:ascii="仿宋_GB2312" w:hAnsi="仿宋_GB2312" w:eastAsia="仿宋_GB2312" w:cs="仿宋_GB2312"/>
          <w:color w:val="auto"/>
          <w:sz w:val="32"/>
          <w:szCs w:val="32"/>
          <w:lang w:val="en-US" w:eastAsia="zh-CN"/>
        </w:rPr>
        <w:t>季</w:t>
      </w:r>
      <w:bookmarkEnd w:id="0"/>
      <w:r>
        <w:rPr>
          <w:rFonts w:hint="eastAsia" w:ascii="仿宋_GB2312" w:hAnsi="仿宋_GB2312" w:eastAsia="仿宋_GB2312" w:cs="仿宋_GB2312"/>
          <w:color w:val="auto"/>
          <w:sz w:val="32"/>
          <w:szCs w:val="32"/>
          <w:lang w:val="en-US" w:eastAsia="zh-CN"/>
        </w:rPr>
        <w:t>调度通报制度，季度终了10日内，各县（区）总结上报衔接资金使用管理情况及相关报表，市财政局会同各行业主管部门汇总分析，将分析结果予以通报，并将通报情况上报市政府。</w:t>
      </w:r>
    </w:p>
    <w:p w14:paraId="58C60369">
      <w:pPr>
        <w:ind w:firstLine="640" w:firstLineChars="200"/>
        <w:rPr>
          <w:color w:val="auto"/>
          <w:sz w:val="32"/>
          <w:szCs w:val="32"/>
        </w:rPr>
      </w:pPr>
      <w:r>
        <w:rPr>
          <w:rFonts w:hint="eastAsia" w:ascii="黑体" w:hAnsi="黑体" w:eastAsia="黑体" w:cs="黑体"/>
          <w:b w:val="0"/>
          <w:bCs/>
          <w:color w:val="auto"/>
          <w:sz w:val="32"/>
          <w:szCs w:val="32"/>
          <w:lang w:val="en-US" w:eastAsia="zh-CN"/>
        </w:rPr>
        <w:t xml:space="preserve">第十六条 </w:t>
      </w:r>
      <w:r>
        <w:rPr>
          <w:rFonts w:hint="eastAsia" w:ascii="仿宋_GB2312" w:hAnsi="仿宋_GB2312" w:eastAsia="仿宋_GB2312" w:cs="仿宋_GB2312"/>
          <w:color w:val="auto"/>
          <w:sz w:val="32"/>
          <w:szCs w:val="32"/>
          <w:lang w:val="en-US" w:eastAsia="zh-CN"/>
        </w:rPr>
        <w:t>各县（区）财政局和行业主管部门要切实加强衔接资金财务管理工作，要设专人逐级建立资产和资金投入台账，严格执行财经纪律，防止资金资产流失，确保资金安全，充分发挥资金使用效益。</w:t>
      </w:r>
    </w:p>
    <w:p w14:paraId="02377231">
      <w:pPr>
        <w:ind w:firstLine="640" w:firstLineChars="200"/>
        <w:rPr>
          <w:rFonts w:hint="eastAsia" w:ascii="仿宋_GB2312" w:hAnsi="仿宋_GB2312" w:eastAsia="仿宋_GB2312" w:cs="仿宋_GB2312"/>
          <w:color w:val="auto"/>
          <w:sz w:val="32"/>
          <w:szCs w:val="32"/>
        </w:rPr>
      </w:pPr>
      <w:r>
        <w:rPr>
          <w:rFonts w:hint="eastAsia" w:ascii="黑体" w:hAnsi="黑体" w:eastAsia="黑体" w:cs="黑体"/>
          <w:b w:val="0"/>
          <w:bCs/>
          <w:color w:val="auto"/>
          <w:sz w:val="32"/>
          <w:szCs w:val="32"/>
          <w:lang w:val="en-US" w:eastAsia="zh-CN"/>
        </w:rPr>
        <w:t xml:space="preserve">第十七条 </w:t>
      </w:r>
      <w:r>
        <w:rPr>
          <w:rFonts w:hint="eastAsia" w:ascii="仿宋_GB2312" w:hAnsi="仿宋_GB2312" w:eastAsia="仿宋_GB2312" w:cs="仿宋_GB2312"/>
          <w:color w:val="auto"/>
          <w:sz w:val="32"/>
          <w:szCs w:val="32"/>
        </w:rPr>
        <w:t>各级财政和行业主管部门按要求配合财政部辽宁监管局以及审计、纪检监察等部门做好衔接资金和项目</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检查、审计等工作。</w:t>
      </w:r>
    </w:p>
    <w:p w14:paraId="65122905">
      <w:pPr>
        <w:ind w:firstLine="640" w:firstLineChars="200"/>
        <w:rPr>
          <w:color w:val="auto"/>
          <w:sz w:val="32"/>
          <w:szCs w:val="32"/>
        </w:rPr>
      </w:pPr>
      <w:r>
        <w:rPr>
          <w:rFonts w:hint="eastAsia" w:ascii="黑体" w:hAnsi="黑体" w:eastAsia="黑体" w:cs="黑体"/>
          <w:b w:val="0"/>
          <w:bCs/>
          <w:color w:val="auto"/>
          <w:sz w:val="32"/>
          <w:szCs w:val="32"/>
          <w:lang w:val="en-US" w:eastAsia="zh-CN"/>
        </w:rPr>
        <w:t xml:space="preserve">第十八条 </w:t>
      </w:r>
      <w:r>
        <w:rPr>
          <w:rFonts w:hint="eastAsia" w:ascii="仿宋_GB2312" w:hAnsi="仿宋_GB2312" w:eastAsia="仿宋_GB2312" w:cs="仿宋_GB2312"/>
          <w:color w:val="auto"/>
          <w:sz w:val="32"/>
          <w:szCs w:val="32"/>
        </w:rPr>
        <w:t>各级财政和行业主管部门及其工作人员在衔接资金分配、使用管理等工作中，存在违反本细则规定，以及滥用职权、玩忽职守、徇私舞弊等违法行为的，按照国家有关规定追究相应责任；涉嫌犯罪的，移送司法机关处理。</w:t>
      </w:r>
    </w:p>
    <w:p w14:paraId="503B1C90">
      <w:pPr>
        <w:pStyle w:val="8"/>
        <w:numPr>
          <w:ilvl w:val="0"/>
          <w:numId w:val="0"/>
        </w:numPr>
        <w:ind w:leftChars="0"/>
        <w:jc w:val="center"/>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第五章  附则</w:t>
      </w:r>
    </w:p>
    <w:p w14:paraId="488DA93A">
      <w:pPr>
        <w:ind w:firstLine="640" w:firstLineChars="200"/>
        <w:rPr>
          <w:color w:val="auto"/>
          <w:sz w:val="32"/>
          <w:szCs w:val="32"/>
        </w:rPr>
      </w:pPr>
      <w:r>
        <w:rPr>
          <w:rFonts w:hint="eastAsia" w:ascii="黑体" w:hAnsi="黑体" w:eastAsia="黑体" w:cs="黑体"/>
          <w:b w:val="0"/>
          <w:bCs/>
          <w:color w:val="auto"/>
          <w:sz w:val="32"/>
          <w:szCs w:val="32"/>
          <w:lang w:val="en-US" w:eastAsia="zh-CN"/>
        </w:rPr>
        <w:t xml:space="preserve">第十九条 </w:t>
      </w:r>
      <w:r>
        <w:rPr>
          <w:rFonts w:hint="eastAsia" w:ascii="仿宋_GB2312" w:hAnsi="仿宋_GB2312" w:eastAsia="仿宋_GB2312" w:cs="仿宋_GB2312"/>
          <w:color w:val="auto"/>
          <w:sz w:val="32"/>
          <w:szCs w:val="32"/>
        </w:rPr>
        <w:t>各级财政部门应根据巩固拓展脱贫攻坚成果同乡村振兴有效衔接的任务需要及财力情况，每年预算安排一定规模的本级衔接资金，保持投入力度总体稳定，支持巩固拓展脱贫攻坚成果和推进乡村振兴。</w:t>
      </w:r>
    </w:p>
    <w:p w14:paraId="5D202414">
      <w:pPr>
        <w:ind w:firstLine="643" w:firstLineChars="200"/>
        <w:rPr>
          <w:rFonts w:hint="eastAsia" w:ascii="仿宋_GB2312" w:hAnsi="仿宋_GB2312" w:eastAsia="仿宋_GB2312" w:cs="仿宋_GB2312"/>
          <w:color w:val="auto"/>
          <w:sz w:val="32"/>
          <w:szCs w:val="32"/>
          <w:lang w:val="en-US" w:eastAsia="zh-CN"/>
        </w:rPr>
      </w:pPr>
      <w:r>
        <w:rPr>
          <w:rFonts w:hint="eastAsia"/>
          <w:b/>
          <w:bCs/>
          <w:color w:val="auto"/>
          <w:sz w:val="32"/>
          <w:szCs w:val="32"/>
          <w:lang w:val="en-US" w:eastAsia="zh-CN"/>
        </w:rPr>
        <w:t xml:space="preserve"> </w:t>
      </w:r>
      <w:r>
        <w:rPr>
          <w:rFonts w:hint="eastAsia" w:ascii="黑体" w:hAnsi="黑体" w:eastAsia="黑体" w:cs="黑体"/>
          <w:b w:val="0"/>
          <w:bCs/>
          <w:color w:val="auto"/>
          <w:sz w:val="32"/>
          <w:szCs w:val="32"/>
          <w:lang w:val="en-US" w:eastAsia="zh-CN"/>
        </w:rPr>
        <w:t xml:space="preserve">第二十条 </w:t>
      </w:r>
      <w:r>
        <w:rPr>
          <w:rFonts w:hint="eastAsia" w:ascii="仿宋_GB2312" w:hAnsi="仿宋_GB2312" w:eastAsia="仿宋_GB2312" w:cs="仿宋_GB2312"/>
          <w:color w:val="auto"/>
          <w:sz w:val="32"/>
          <w:szCs w:val="32"/>
          <w:lang w:val="en-US" w:eastAsia="zh-CN"/>
        </w:rPr>
        <w:t>各县（区）财政部门要会同行业主管部门，可根据本实施细则制定具体操作方案。</w:t>
      </w:r>
    </w:p>
    <w:p w14:paraId="2C6AE640">
      <w:pPr>
        <w:ind w:firstLine="640" w:firstLineChars="200"/>
        <w:rPr>
          <w:rFonts w:hint="default" w:ascii="仿宋_GB2312" w:hAnsi="仿宋_GB2312" w:eastAsia="仿宋_GB2312" w:cs="仿宋_GB2312"/>
          <w:color w:val="auto"/>
          <w:sz w:val="32"/>
          <w:szCs w:val="32"/>
          <w:lang w:val="en-US" w:eastAsia="zh-CN"/>
        </w:rPr>
      </w:pPr>
      <w:r>
        <w:rPr>
          <w:rFonts w:hint="eastAsia" w:ascii="黑体" w:hAnsi="黑体" w:eastAsia="黑体" w:cs="黑体"/>
          <w:b w:val="0"/>
          <w:bCs/>
          <w:color w:val="auto"/>
          <w:sz w:val="32"/>
          <w:szCs w:val="32"/>
          <w:lang w:val="en-US" w:eastAsia="zh-CN"/>
        </w:rPr>
        <w:t xml:space="preserve">第二十一条 </w:t>
      </w:r>
      <w:r>
        <w:rPr>
          <w:rFonts w:hint="eastAsia" w:ascii="仿宋_GB2312" w:hAnsi="仿宋_GB2312" w:eastAsia="仿宋_GB2312" w:cs="仿宋_GB2312"/>
          <w:color w:val="auto"/>
          <w:sz w:val="32"/>
          <w:szCs w:val="32"/>
        </w:rPr>
        <w:t>本细则自印发之日起实施，由市财政局会同行业主管部门</w:t>
      </w:r>
      <w:r>
        <w:rPr>
          <w:rFonts w:hint="eastAsia" w:ascii="仿宋_GB2312" w:hAnsi="仿宋_GB2312" w:eastAsia="仿宋_GB2312" w:cs="仿宋_GB2312"/>
          <w:color w:val="auto"/>
          <w:sz w:val="32"/>
          <w:szCs w:val="32"/>
          <w:lang w:eastAsia="zh-CN"/>
        </w:rPr>
        <w:t>按职责</w:t>
      </w:r>
      <w:r>
        <w:rPr>
          <w:rFonts w:hint="eastAsia" w:ascii="仿宋_GB2312" w:hAnsi="仿宋_GB2312" w:eastAsia="仿宋_GB2312" w:cs="仿宋_GB2312"/>
          <w:color w:val="auto"/>
          <w:sz w:val="32"/>
          <w:szCs w:val="32"/>
        </w:rPr>
        <w:t>负责解释。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本溪市财政局 本溪市扶贫开发工作领导小组办公室 本溪市住房和城乡建设委员会关于印发本溪市财政专项扶贫发展资金管理办法的通知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本财发〔2018〕107号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同时废止。</w:t>
      </w:r>
    </w:p>
    <w:sectPr>
      <w:headerReference r:id="rId3" w:type="default"/>
      <w:footerReference r:id="rId4" w:type="default"/>
      <w:pgSz w:w="11906" w:h="16838"/>
      <w:pgMar w:top="1701" w:right="1474" w:bottom="1701"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6EE8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6D7DEE">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6D7DEE">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8F7DA">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6E9"/>
    <w:rsid w:val="00017E3D"/>
    <w:rsid w:val="00083B81"/>
    <w:rsid w:val="00105CFE"/>
    <w:rsid w:val="001237D2"/>
    <w:rsid w:val="002606E9"/>
    <w:rsid w:val="002A6464"/>
    <w:rsid w:val="00346E4D"/>
    <w:rsid w:val="004246B6"/>
    <w:rsid w:val="004437C0"/>
    <w:rsid w:val="004459B0"/>
    <w:rsid w:val="004655C7"/>
    <w:rsid w:val="00494A3E"/>
    <w:rsid w:val="00495A78"/>
    <w:rsid w:val="004D4C3B"/>
    <w:rsid w:val="004E5B6A"/>
    <w:rsid w:val="00517C7D"/>
    <w:rsid w:val="005764B2"/>
    <w:rsid w:val="00583DCF"/>
    <w:rsid w:val="00633958"/>
    <w:rsid w:val="006C0841"/>
    <w:rsid w:val="006E68DF"/>
    <w:rsid w:val="00765B06"/>
    <w:rsid w:val="00796926"/>
    <w:rsid w:val="0082437C"/>
    <w:rsid w:val="00867966"/>
    <w:rsid w:val="008829AA"/>
    <w:rsid w:val="008C2992"/>
    <w:rsid w:val="009049A2"/>
    <w:rsid w:val="00927161"/>
    <w:rsid w:val="0096652D"/>
    <w:rsid w:val="00A12B96"/>
    <w:rsid w:val="00A71A8C"/>
    <w:rsid w:val="00AC7A25"/>
    <w:rsid w:val="00B058B4"/>
    <w:rsid w:val="00BC4AAC"/>
    <w:rsid w:val="00BD5037"/>
    <w:rsid w:val="00BF1B3D"/>
    <w:rsid w:val="00C47EAD"/>
    <w:rsid w:val="00CC60E3"/>
    <w:rsid w:val="00D71B82"/>
    <w:rsid w:val="00E31431"/>
    <w:rsid w:val="00E33B6F"/>
    <w:rsid w:val="00E50533"/>
    <w:rsid w:val="00E90A11"/>
    <w:rsid w:val="00F10F56"/>
    <w:rsid w:val="00F4158E"/>
    <w:rsid w:val="00FB00C6"/>
    <w:rsid w:val="01211959"/>
    <w:rsid w:val="01844D32"/>
    <w:rsid w:val="029D1A04"/>
    <w:rsid w:val="02E01C47"/>
    <w:rsid w:val="0461640D"/>
    <w:rsid w:val="049E5B69"/>
    <w:rsid w:val="04BB296E"/>
    <w:rsid w:val="04C9670A"/>
    <w:rsid w:val="05145BD8"/>
    <w:rsid w:val="08901A19"/>
    <w:rsid w:val="0BF52D02"/>
    <w:rsid w:val="0BFA2E34"/>
    <w:rsid w:val="0CBD2B44"/>
    <w:rsid w:val="0D164953"/>
    <w:rsid w:val="0E1F376E"/>
    <w:rsid w:val="0EAC6E81"/>
    <w:rsid w:val="0EB52D6A"/>
    <w:rsid w:val="101B5291"/>
    <w:rsid w:val="11526A48"/>
    <w:rsid w:val="116021A5"/>
    <w:rsid w:val="11C478DE"/>
    <w:rsid w:val="12280F14"/>
    <w:rsid w:val="12563508"/>
    <w:rsid w:val="129A5602"/>
    <w:rsid w:val="16B5053A"/>
    <w:rsid w:val="194F6D87"/>
    <w:rsid w:val="1B527002"/>
    <w:rsid w:val="1B8271CE"/>
    <w:rsid w:val="1D174F3D"/>
    <w:rsid w:val="1D692E97"/>
    <w:rsid w:val="1E4569AA"/>
    <w:rsid w:val="1EA51D2D"/>
    <w:rsid w:val="22067BE5"/>
    <w:rsid w:val="22AA3280"/>
    <w:rsid w:val="22D4731C"/>
    <w:rsid w:val="23B95E70"/>
    <w:rsid w:val="23DE59BA"/>
    <w:rsid w:val="23FA5FEA"/>
    <w:rsid w:val="24C3687B"/>
    <w:rsid w:val="252E0198"/>
    <w:rsid w:val="26486875"/>
    <w:rsid w:val="269D34CE"/>
    <w:rsid w:val="26AD3556"/>
    <w:rsid w:val="270C4BCE"/>
    <w:rsid w:val="287E261C"/>
    <w:rsid w:val="2A572EBE"/>
    <w:rsid w:val="2ADD5651"/>
    <w:rsid w:val="2BA32E52"/>
    <w:rsid w:val="2CE657FC"/>
    <w:rsid w:val="2D1135CF"/>
    <w:rsid w:val="2EE4145B"/>
    <w:rsid w:val="2F587A28"/>
    <w:rsid w:val="2F7D70BA"/>
    <w:rsid w:val="319E1D2A"/>
    <w:rsid w:val="31D60C88"/>
    <w:rsid w:val="32125567"/>
    <w:rsid w:val="321E5052"/>
    <w:rsid w:val="32EE540A"/>
    <w:rsid w:val="351A4FD4"/>
    <w:rsid w:val="35490860"/>
    <w:rsid w:val="35BD4A27"/>
    <w:rsid w:val="35F76AB1"/>
    <w:rsid w:val="36C95F72"/>
    <w:rsid w:val="37395375"/>
    <w:rsid w:val="3787198A"/>
    <w:rsid w:val="39912D3E"/>
    <w:rsid w:val="3A6477BF"/>
    <w:rsid w:val="3B4B5FDE"/>
    <w:rsid w:val="3C9C34E4"/>
    <w:rsid w:val="3D3064EF"/>
    <w:rsid w:val="3E3363C7"/>
    <w:rsid w:val="3F5D4CCB"/>
    <w:rsid w:val="3F850AEF"/>
    <w:rsid w:val="40CA5CFC"/>
    <w:rsid w:val="40CD6240"/>
    <w:rsid w:val="411375AC"/>
    <w:rsid w:val="425473FF"/>
    <w:rsid w:val="438E442D"/>
    <w:rsid w:val="459F05CE"/>
    <w:rsid w:val="46443E53"/>
    <w:rsid w:val="465D66D7"/>
    <w:rsid w:val="46DE5A63"/>
    <w:rsid w:val="4813679C"/>
    <w:rsid w:val="498D72D3"/>
    <w:rsid w:val="49A77E7C"/>
    <w:rsid w:val="4A1A030D"/>
    <w:rsid w:val="4ADC1D82"/>
    <w:rsid w:val="4B7B7ABD"/>
    <w:rsid w:val="4E960E86"/>
    <w:rsid w:val="54330A77"/>
    <w:rsid w:val="5550466E"/>
    <w:rsid w:val="555D5DAC"/>
    <w:rsid w:val="5698365D"/>
    <w:rsid w:val="57137C33"/>
    <w:rsid w:val="596035D3"/>
    <w:rsid w:val="5AD83119"/>
    <w:rsid w:val="5BB30012"/>
    <w:rsid w:val="5C453482"/>
    <w:rsid w:val="5D213B63"/>
    <w:rsid w:val="5D9967FF"/>
    <w:rsid w:val="5F2B700E"/>
    <w:rsid w:val="5F6F409C"/>
    <w:rsid w:val="5F973988"/>
    <w:rsid w:val="638717B1"/>
    <w:rsid w:val="64676364"/>
    <w:rsid w:val="64DB0A9B"/>
    <w:rsid w:val="6507446B"/>
    <w:rsid w:val="66B613D6"/>
    <w:rsid w:val="670047E9"/>
    <w:rsid w:val="675D5AD6"/>
    <w:rsid w:val="6A040A94"/>
    <w:rsid w:val="6B3425A7"/>
    <w:rsid w:val="6B804F99"/>
    <w:rsid w:val="6C5B6A65"/>
    <w:rsid w:val="6D017F49"/>
    <w:rsid w:val="6D840CE8"/>
    <w:rsid w:val="6DAB46F5"/>
    <w:rsid w:val="6DDB5FB0"/>
    <w:rsid w:val="6ED35661"/>
    <w:rsid w:val="6FC96806"/>
    <w:rsid w:val="702E5B63"/>
    <w:rsid w:val="703D44F7"/>
    <w:rsid w:val="72225F5B"/>
    <w:rsid w:val="72660B6A"/>
    <w:rsid w:val="727603A8"/>
    <w:rsid w:val="762A1882"/>
    <w:rsid w:val="76DF7EDE"/>
    <w:rsid w:val="773330BD"/>
    <w:rsid w:val="777D6AC4"/>
    <w:rsid w:val="78886285"/>
    <w:rsid w:val="79A44D62"/>
    <w:rsid w:val="7A1227E1"/>
    <w:rsid w:val="7A815E36"/>
    <w:rsid w:val="7AD25ED0"/>
    <w:rsid w:val="7B272834"/>
    <w:rsid w:val="7CB46694"/>
    <w:rsid w:val="7E1E565F"/>
    <w:rsid w:val="7ED72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284405-42AD-4FDF-8F20-676F65162482}">
  <ds:schemaRefs/>
</ds:datastoreItem>
</file>

<file path=customXml/itemProps3.xml><?xml version="1.0" encoding="utf-8"?>
<ds:datastoreItem xmlns:ds="http://schemas.openxmlformats.org/officeDocument/2006/customXml" ds:itemID="{d1ba4c5f-e3ed-4c90-a21e-7ab812b5df79}">
  <ds:schemaRefs/>
</ds:datastoreItem>
</file>

<file path=docProps/app.xml><?xml version="1.0" encoding="utf-8"?>
<Properties xmlns="http://schemas.openxmlformats.org/officeDocument/2006/extended-properties" xmlns:vt="http://schemas.openxmlformats.org/officeDocument/2006/docPropsVTypes">
  <Template>Normal</Template>
  <Company>MS</Company>
  <Pages>9</Pages>
  <Words>3368</Words>
  <Characters>3402</Characters>
  <Lines>18</Lines>
  <Paragraphs>5</Paragraphs>
  <TotalTime>55</TotalTime>
  <ScaleCrop>false</ScaleCrop>
  <LinksUpToDate>false</LinksUpToDate>
  <CharactersWithSpaces>3473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2021-06-08T08:29:00Z</dcterms:created>
  <dc:creator>USER-</dc:creator>
  <cp:lastModifiedBy>大威</cp:lastModifiedBy>
  <cp:lastPrinted>2021-11-16T05:25:00Z</cp:lastPrinted>
  <dcterms:modified xsi:type="dcterms:W3CDTF">2026-01-30T05:48:07Z</dcterms:modified>
  <dc:title>锦州市衔接推进乡村振兴补助资金</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DBB1FCCC9659477A95FBB8B4D5D469EF</vt:lpwstr>
  </property>
  <property fmtid="{D5CDD505-2E9C-101B-9397-08002B2CF9AE}" pid="4" name="KSOTemplateDocerSaveRecord">
    <vt:lpwstr>eyJoZGlkIjoiNjBhZjljODcxYzk3YTY0YmYwMjc4MGJkNDYzOTBlMTMiLCJ1c2VySWQiOiIzOTg5MzQxNzkifQ==</vt:lpwstr>
  </property>
</Properties>
</file>