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关于印发本溪市</w:t>
      </w:r>
      <w:r>
        <w:rPr>
          <w:rFonts w:hint="eastAsia" w:ascii="方正小标宋简体" w:hAnsi="方正小标宋简体" w:eastAsia="方正小标宋简体" w:cs="方正小标宋简体"/>
          <w:b w:val="0"/>
          <w:bCs w:val="0"/>
          <w:sz w:val="44"/>
          <w:szCs w:val="44"/>
          <w:lang w:val="en-US" w:eastAsia="zh-CN"/>
        </w:rPr>
        <w:t>2026年生产者</w:t>
      </w:r>
      <w:r>
        <w:rPr>
          <w:rFonts w:hint="eastAsia" w:ascii="方正小标宋简体" w:hAnsi="方正小标宋简体" w:eastAsia="方正小标宋简体" w:cs="方正小标宋简体"/>
          <w:b w:val="0"/>
          <w:bCs w:val="0"/>
          <w:sz w:val="44"/>
          <w:szCs w:val="44"/>
        </w:rPr>
        <w:t>补贴</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实施方案的通知</w:t>
      </w: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sz w:val="44"/>
          <w:szCs w:val="44"/>
        </w:rPr>
      </w:pP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各县（区）农业农村局、财政局：</w:t>
      </w:r>
    </w:p>
    <w:p>
      <w:pPr>
        <w:keepNext w:val="0"/>
        <w:keepLines w:val="0"/>
        <w:pageBreakBefore w:val="0"/>
        <w:widowControl w:val="0"/>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sz w:val="32"/>
          <w:szCs w:val="32"/>
        </w:rPr>
      </w:pPr>
      <w:r>
        <w:rPr>
          <w:rFonts w:hint="eastAsia" w:ascii="仿宋" w:hAnsi="仿宋" w:eastAsia="仿宋" w:cs="仿宋"/>
          <w:sz w:val="32"/>
          <w:szCs w:val="32"/>
          <w:lang w:eastAsia="zh-CN"/>
        </w:rPr>
        <w:t>为落实国家及省级玉米和大豆、稻谷生产者补贴政策，稳定农民收入预期，调动农民种粮积极性，市农业农村局、财政局联合制定了《本溪市</w:t>
      </w:r>
      <w:r>
        <w:rPr>
          <w:rFonts w:hint="eastAsia" w:ascii="仿宋" w:hAnsi="仿宋" w:eastAsia="仿宋" w:cs="仿宋"/>
          <w:sz w:val="32"/>
          <w:szCs w:val="32"/>
          <w:lang w:val="en-US" w:eastAsia="zh-CN"/>
        </w:rPr>
        <w:t>2026年生产者</w:t>
      </w:r>
      <w:r>
        <w:rPr>
          <w:rFonts w:hint="eastAsia" w:ascii="仿宋" w:hAnsi="仿宋" w:eastAsia="仿宋" w:cs="仿宋"/>
          <w:sz w:val="32"/>
          <w:szCs w:val="32"/>
          <w:lang w:eastAsia="zh-CN"/>
        </w:rPr>
        <w:t xml:space="preserve">补贴实施方案》，现印发给你们，请结合实际认真贯彻落实。 </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val="0"/>
        <w:snapToGrid w:val="0"/>
        <w:spacing w:line="579" w:lineRule="exact"/>
        <w:ind w:firstLine="852" w:firstLineChars="250"/>
        <w:jc w:val="both"/>
        <w:textAlignment w:val="auto"/>
        <w:rPr>
          <w:rFonts w:hint="eastAsia" w:ascii="仿宋" w:hAnsi="仿宋" w:eastAsia="仿宋" w:cs="仿宋"/>
          <w:sz w:val="32"/>
          <w:szCs w:val="32"/>
        </w:rPr>
      </w:pPr>
      <w:r>
        <w:rPr>
          <w:rFonts w:hint="eastAsia" w:ascii="Times New Roman" w:hAnsi="Times New Roman" w:eastAsia="仿宋_GB2312" w:cs="Times New Roman"/>
          <w:sz w:val="32"/>
          <w:szCs w:val="32"/>
        </w:rPr>
        <w:t xml:space="preserve"> </w:t>
      </w:r>
      <w:r>
        <w:rPr>
          <w:rFonts w:hint="eastAsia" w:ascii="仿宋" w:hAnsi="仿宋" w:eastAsia="仿宋" w:cs="仿宋"/>
          <w:sz w:val="32"/>
          <w:szCs w:val="32"/>
          <w:lang w:eastAsia="zh-CN"/>
        </w:rPr>
        <w:t>本溪市</w:t>
      </w:r>
      <w:r>
        <w:rPr>
          <w:rFonts w:hint="eastAsia" w:ascii="仿宋" w:hAnsi="仿宋" w:eastAsia="仿宋" w:cs="仿宋"/>
          <w:sz w:val="32"/>
          <w:szCs w:val="32"/>
        </w:rPr>
        <w:t>农业农村</w:t>
      </w:r>
      <w:r>
        <w:rPr>
          <w:rFonts w:hint="eastAsia" w:ascii="仿宋" w:hAnsi="仿宋" w:eastAsia="仿宋" w:cs="仿宋"/>
          <w:sz w:val="32"/>
          <w:szCs w:val="32"/>
          <w:lang w:eastAsia="zh-CN"/>
        </w:rPr>
        <w:t>局</w:t>
      </w:r>
      <w:r>
        <w:rPr>
          <w:rFonts w:hint="eastAsia" w:ascii="仿宋" w:hAnsi="仿宋" w:eastAsia="仿宋" w:cs="仿宋"/>
          <w:sz w:val="32"/>
          <w:szCs w:val="32"/>
          <w:lang w:val="en-US" w:eastAsia="zh-CN"/>
        </w:rPr>
        <w:t xml:space="preserve">            本溪市</w:t>
      </w:r>
      <w:r>
        <w:rPr>
          <w:rFonts w:hint="eastAsia" w:ascii="仿宋" w:hAnsi="仿宋" w:eastAsia="仿宋" w:cs="仿宋"/>
          <w:sz w:val="32"/>
          <w:szCs w:val="32"/>
        </w:rPr>
        <w:t>财政</w:t>
      </w:r>
      <w:r>
        <w:rPr>
          <w:rFonts w:hint="eastAsia" w:ascii="仿宋" w:hAnsi="仿宋" w:eastAsia="仿宋" w:cs="仿宋"/>
          <w:sz w:val="32"/>
          <w:szCs w:val="32"/>
          <w:lang w:eastAsia="zh-CN"/>
        </w:rPr>
        <w:t>局</w:t>
      </w: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line="579" w:lineRule="exact"/>
        <w:ind w:firstLine="852" w:firstLineChars="250"/>
        <w:jc w:val="both"/>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pPr>
        <w:keepNext w:val="0"/>
        <w:keepLines w:val="0"/>
        <w:pageBreakBefore w:val="0"/>
        <w:widowControl w:val="0"/>
        <w:kinsoku/>
        <w:wordWrap/>
        <w:overflowPunct/>
        <w:topLinePunct w:val="0"/>
        <w:autoSpaceDE/>
        <w:autoSpaceDN/>
        <w:bidi w:val="0"/>
        <w:adjustRightInd w:val="0"/>
        <w:snapToGrid w:val="0"/>
        <w:spacing w:line="579" w:lineRule="exact"/>
        <w:ind w:firstLine="5456" w:firstLineChars="1600"/>
        <w:jc w:val="both"/>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w:t>
      </w:r>
      <w:r>
        <w:rPr>
          <w:rFonts w:hint="eastAsia" w:ascii="仿宋" w:hAnsi="仿宋" w:eastAsia="仿宋" w:cs="仿宋"/>
          <w:sz w:val="32"/>
          <w:szCs w:val="32"/>
          <w:lang w:val="en-US" w:eastAsia="zh-CN"/>
        </w:rPr>
        <w:t>6</w:t>
      </w:r>
      <w:r>
        <w:rPr>
          <w:rFonts w:hint="eastAsia" w:ascii="仿宋" w:hAnsi="仿宋" w:eastAsia="仿宋" w:cs="仿宋"/>
          <w:sz w:val="32"/>
          <w:szCs w:val="32"/>
        </w:rPr>
        <w:t>月</w:t>
      </w:r>
      <w:r>
        <w:rPr>
          <w:rFonts w:hint="eastAsia" w:ascii="仿宋" w:hAnsi="仿宋" w:eastAsia="仿宋" w:cs="仿宋"/>
          <w:sz w:val="32"/>
          <w:szCs w:val="32"/>
          <w:lang w:val="en-US" w:eastAsia="zh-CN"/>
        </w:rPr>
        <w:t>8</w:t>
      </w:r>
      <w:r>
        <w:rPr>
          <w:rFonts w:hint="eastAsia" w:ascii="仿宋" w:hAnsi="仿宋" w:eastAsia="仿宋" w:cs="仿宋"/>
          <w:sz w:val="32"/>
          <w:szCs w:val="32"/>
        </w:rPr>
        <w:t>日</w:t>
      </w:r>
    </w:p>
    <w:p>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sz w:val="44"/>
          <w:szCs w:val="44"/>
        </w:rPr>
        <w:sectPr>
          <w:footerReference r:id="rId3" w:type="default"/>
          <w:pgSz w:w="11850" w:h="16838"/>
          <w:pgMar w:top="2098" w:right="1474" w:bottom="1984" w:left="1587" w:header="851" w:footer="1417" w:gutter="0"/>
          <w:pgNumType w:fmt="decimal"/>
          <w:cols w:space="0" w:num="1"/>
          <w:rtlGutter w:val="0"/>
          <w:docGrid w:type="linesAndChars" w:linePitch="312" w:charSpace="4360"/>
        </w:sectPr>
      </w:pPr>
    </w:p>
    <w:p>
      <w:pPr>
        <w:keepNext w:val="0"/>
        <w:keepLines w:val="0"/>
        <w:pageBreakBefore w:val="0"/>
        <w:widowControl w:val="0"/>
        <w:kinsoku/>
        <w:wordWrap/>
        <w:overflowPunct/>
        <w:topLinePunct w:val="0"/>
        <w:autoSpaceDE/>
        <w:autoSpaceDN/>
        <w:bidi w:val="0"/>
        <w:adjustRightInd/>
        <w:snapToGrid/>
        <w:spacing w:line="240" w:lineRule="auto"/>
        <w:ind w:firstLine="922" w:firstLineChars="200"/>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本溪市</w:t>
      </w:r>
      <w:r>
        <w:rPr>
          <w:rFonts w:hint="eastAsia" w:ascii="方正小标宋简体" w:hAnsi="方正小标宋简体" w:eastAsia="方正小标宋简体" w:cs="方正小标宋简体"/>
          <w:b w:val="0"/>
          <w:bCs w:val="0"/>
          <w:sz w:val="44"/>
          <w:szCs w:val="44"/>
          <w:lang w:val="en-US" w:eastAsia="zh-CN"/>
        </w:rPr>
        <w:t>2026年生产者</w:t>
      </w:r>
      <w:r>
        <w:rPr>
          <w:rFonts w:hint="eastAsia" w:ascii="方正小标宋简体" w:hAnsi="方正小标宋简体" w:eastAsia="方正小标宋简体" w:cs="方正小标宋简体"/>
          <w:b w:val="0"/>
          <w:bCs w:val="0"/>
          <w:sz w:val="44"/>
          <w:szCs w:val="44"/>
        </w:rPr>
        <w:t>补贴实施方案</w:t>
      </w:r>
    </w:p>
    <w:p>
      <w:pPr>
        <w:keepNext w:val="0"/>
        <w:keepLines w:val="0"/>
        <w:pageBreakBefore w:val="0"/>
        <w:widowControl w:val="0"/>
        <w:kinsoku/>
        <w:wordWrap/>
        <w:overflowPunct/>
        <w:topLinePunct w:val="0"/>
        <w:autoSpaceDE/>
        <w:autoSpaceDN/>
        <w:bidi w:val="0"/>
        <w:adjustRightInd/>
        <w:snapToGrid/>
        <w:spacing w:line="240" w:lineRule="auto"/>
        <w:ind w:firstLine="682" w:firstLineChars="200"/>
        <w:textAlignment w:val="auto"/>
        <w:rPr>
          <w:rFonts w:hint="eastAsia" w:ascii="方正小标宋简体" w:hAnsi="方正小标宋简体" w:eastAsia="方正小标宋简体" w:cs="方正小标宋简体"/>
          <w:b w:val="0"/>
          <w:bCs w:val="0"/>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根据《辽宁省农业农村厅 辽宁省财政厅关于做好</w:t>
      </w:r>
      <w:r>
        <w:rPr>
          <w:rFonts w:hint="eastAsia" w:ascii="仿宋" w:hAnsi="仿宋" w:eastAsia="仿宋" w:cs="仿宋"/>
          <w:color w:val="000000"/>
          <w:kern w:val="0"/>
          <w:sz w:val="32"/>
          <w:szCs w:val="32"/>
          <w:lang w:val="en-US" w:eastAsia="zh-CN"/>
        </w:rPr>
        <w:t>2026年生产者补贴政策落实工作的</w:t>
      </w:r>
      <w:r>
        <w:rPr>
          <w:rFonts w:hint="eastAsia" w:ascii="仿宋" w:hAnsi="仿宋" w:eastAsia="仿宋" w:cs="仿宋"/>
          <w:color w:val="000000"/>
          <w:kern w:val="0"/>
          <w:sz w:val="32"/>
          <w:szCs w:val="32"/>
          <w:lang w:eastAsia="zh-CN"/>
        </w:rPr>
        <w:t>通知》（辽农农〔</w:t>
      </w:r>
      <w:r>
        <w:rPr>
          <w:rFonts w:hint="eastAsia" w:ascii="仿宋" w:hAnsi="仿宋" w:eastAsia="仿宋" w:cs="仿宋"/>
          <w:color w:val="000000"/>
          <w:kern w:val="0"/>
          <w:sz w:val="32"/>
          <w:szCs w:val="32"/>
          <w:lang w:val="en-US" w:eastAsia="zh-CN"/>
        </w:rPr>
        <w:t>2026</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162号</w:t>
      </w:r>
      <w:r>
        <w:rPr>
          <w:rFonts w:hint="eastAsia" w:ascii="仿宋" w:hAnsi="仿宋" w:eastAsia="仿宋" w:cs="仿宋"/>
          <w:color w:val="000000"/>
          <w:kern w:val="0"/>
          <w:sz w:val="32"/>
          <w:szCs w:val="32"/>
          <w:lang w:eastAsia="zh-CN"/>
        </w:rPr>
        <w:t>）《关于印发辽宁省统筹玉米和大豆生产者补贴政策实施方案的通知》（辽财经〔2017〕261号）、《关于印发辽宁省稻谷生产者补贴政策实施方案的通知》（辽财经〔2018〕639号）文件要求，结合我市实际，制定本方案。</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一、补贴对象、范围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生产者补贴对象为全市所有县（区）的合法耕地上的玉米、大豆（包括黄大豆、黑大豆、青大豆）、水稻实际生产者。将正常管理的复种、间种、套种大豆和玉米纳入补贴范围；大豆、玉米与其他农作物带状复合种植（间种、套种）的，根据大豆、玉米实际种植面积测算补贴额度。大豆、玉米与果树间种（套种）的不纳入补贴范围。大豆播种日期在7月20日之后的不纳入补贴范围。支持引导高油高蛋白等优质大豆品种生产补贴按照《2026年支持高油高蛋白优质大豆生产发展政策实施方案》（附件</w:t>
      </w:r>
      <w:r>
        <w:rPr>
          <w:rFonts w:hint="eastAsia" w:ascii="仿宋" w:hAnsi="仿宋" w:eastAsia="仿宋" w:cs="仿宋"/>
          <w:color w:val="000000"/>
          <w:kern w:val="0"/>
          <w:sz w:val="32"/>
          <w:szCs w:val="32"/>
          <w:lang w:val="en-US" w:eastAsia="zh-CN"/>
        </w:rPr>
        <w:t>6</w:t>
      </w:r>
      <w:bookmarkStart w:id="0" w:name="_GoBack"/>
      <w:bookmarkEnd w:id="0"/>
      <w:r>
        <w:rPr>
          <w:rFonts w:hint="eastAsia" w:ascii="仿宋" w:hAnsi="仿宋" w:eastAsia="仿宋" w:cs="仿宋"/>
          <w:color w:val="000000"/>
          <w:kern w:val="0"/>
          <w:sz w:val="32"/>
          <w:szCs w:val="32"/>
          <w:lang w:eastAsia="zh-CN"/>
        </w:rPr>
        <w:t>）落实。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二、补贴标准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eastAsia="zh-CN"/>
        </w:rPr>
        <w:t>根据省下达我市的资金总额、以前年度生产者补贴结余结转资金、全市核实补贴面积，分作物测算确定全市统一补贴标准。为鼓励大豆种植，大豆每亩补贴标准比玉米高</w:t>
      </w:r>
      <w:r>
        <w:rPr>
          <w:rFonts w:hint="eastAsia" w:ascii="仿宋" w:hAnsi="仿宋" w:eastAsia="仿宋" w:cs="仿宋"/>
          <w:color w:val="000000"/>
          <w:kern w:val="0"/>
          <w:sz w:val="32"/>
          <w:szCs w:val="32"/>
          <w:lang w:val="en-US" w:eastAsia="zh-CN"/>
        </w:rPr>
        <w:t>400元。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三、补贴面积核实流程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楷体" w:hAnsi="楷体" w:eastAsia="楷体" w:cs="楷体"/>
          <w:color w:val="000000"/>
          <w:kern w:val="0"/>
          <w:sz w:val="32"/>
          <w:szCs w:val="32"/>
          <w:lang w:eastAsia="zh-CN"/>
        </w:rPr>
        <w:t>（一）自主申报登记。</w:t>
      </w:r>
      <w:r>
        <w:rPr>
          <w:rFonts w:hint="eastAsia" w:ascii="仿宋" w:hAnsi="仿宋" w:eastAsia="仿宋" w:cs="仿宋"/>
          <w:color w:val="000000"/>
          <w:kern w:val="0"/>
          <w:sz w:val="32"/>
          <w:szCs w:val="32"/>
          <w:lang w:eastAsia="zh-CN"/>
        </w:rPr>
        <w:t>生产者当年玉米、大豆、水稻播种结束后，按照属地管理原则自主向耕地所属村委会申报当年实际种植面积，标明种植玉米、大豆、稻谷耕地属性（承包、流转等），同时登记领取补贴惠农“一卡通”账号。生产者对填报内容的真实性负责。对于确实无法自主申报、领取补贴资金的农户，乡镇（街道）政府要规范委托申报、领取补贴资金程序，由村委会严格按照程序执行，并留档封存，严禁发生虚报、冒领补贴资金等问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楷体" w:hAnsi="楷体" w:eastAsia="楷体" w:cs="楷体"/>
          <w:color w:val="000000"/>
          <w:kern w:val="0"/>
          <w:sz w:val="32"/>
          <w:szCs w:val="32"/>
          <w:lang w:eastAsia="zh-CN"/>
        </w:rPr>
      </w:pPr>
      <w:r>
        <w:rPr>
          <w:rFonts w:hint="eastAsia" w:ascii="楷体" w:hAnsi="楷体" w:eastAsia="楷体" w:cs="楷体"/>
          <w:color w:val="000000"/>
          <w:kern w:val="0"/>
          <w:sz w:val="32"/>
          <w:szCs w:val="32"/>
          <w:lang w:eastAsia="zh-CN"/>
        </w:rPr>
        <w:t>（二）统计汇总核查。</w:t>
      </w:r>
      <w:r>
        <w:rPr>
          <w:rFonts w:hint="eastAsia" w:ascii="仿宋" w:hAnsi="仿宋" w:eastAsia="仿宋" w:cs="仿宋"/>
          <w:color w:val="000000"/>
          <w:kern w:val="0"/>
          <w:sz w:val="32"/>
          <w:szCs w:val="32"/>
          <w:lang w:eastAsia="zh-CN"/>
        </w:rPr>
        <w:t>自主申报结束后，由乡镇（街道）政府组织农业等相关部门部署各村委会对全村玉米、大豆、稻谷生产者补贴基本信息（姓名、玉米大豆稻谷种植面积、耕地属性、“一卡通”账号等）进行核查确认，由村小组长、村委会负责人、乡镇（街道）部门负责人签字，加盖村委会公章，一式两份，一份留存归档，一份报乡镇（街道）政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default" w:ascii="楷体" w:hAnsi="楷体" w:eastAsia="楷体" w:cs="楷体"/>
          <w:color w:val="000000"/>
          <w:kern w:val="0"/>
          <w:sz w:val="32"/>
          <w:szCs w:val="32"/>
          <w:lang w:val="en-US" w:eastAsia="zh-CN"/>
        </w:rPr>
      </w:pPr>
      <w:r>
        <w:rPr>
          <w:rFonts w:hint="eastAsia" w:ascii="楷体" w:hAnsi="楷体" w:eastAsia="楷体" w:cs="楷体"/>
          <w:color w:val="000000"/>
          <w:kern w:val="0"/>
          <w:sz w:val="32"/>
          <w:szCs w:val="32"/>
          <w:lang w:eastAsia="zh-CN"/>
        </w:rPr>
        <w:t>（三）实行村级公示。</w:t>
      </w:r>
      <w:r>
        <w:rPr>
          <w:rFonts w:hint="eastAsia" w:ascii="仿宋" w:hAnsi="仿宋" w:eastAsia="仿宋" w:cs="仿宋"/>
          <w:color w:val="000000"/>
          <w:kern w:val="0"/>
          <w:sz w:val="32"/>
          <w:szCs w:val="32"/>
          <w:lang w:eastAsia="zh-CN"/>
        </w:rPr>
        <w:t>乡镇（街道）政府组织农业等相关部门对核查确认的生产者补贴基本信息情况进行汇总，由乡镇（街道）政府经手人和负责人签字、加盖公章，村委会负责人签字、加盖村委会公章后，以村为单位公示</w:t>
      </w:r>
      <w:r>
        <w:rPr>
          <w:rFonts w:hint="eastAsia" w:ascii="仿宋" w:hAnsi="仿宋" w:eastAsia="仿宋" w:cs="仿宋"/>
          <w:color w:val="000000"/>
          <w:kern w:val="0"/>
          <w:sz w:val="32"/>
          <w:szCs w:val="32"/>
          <w:lang w:val="en-US" w:eastAsia="zh-CN"/>
        </w:rPr>
        <w:t>7天。公示期间，对群众有异议的基本信息要立即核实，如与事实不符应更正，确保信息完整准确。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楷体" w:hAnsi="楷体" w:eastAsia="楷体" w:cs="楷体"/>
          <w:color w:val="000000"/>
          <w:kern w:val="0"/>
          <w:sz w:val="32"/>
          <w:szCs w:val="32"/>
          <w:lang w:eastAsia="zh-CN"/>
        </w:rPr>
        <w:t>（四）信息汇总上报。</w:t>
      </w:r>
      <w:r>
        <w:rPr>
          <w:rFonts w:hint="eastAsia" w:ascii="仿宋" w:hAnsi="仿宋" w:eastAsia="仿宋" w:cs="仿宋"/>
          <w:color w:val="000000"/>
          <w:kern w:val="0"/>
          <w:sz w:val="32"/>
          <w:szCs w:val="32"/>
          <w:lang w:eastAsia="zh-CN"/>
        </w:rPr>
        <w:t>乡镇（街道）政府组织农业等相关部门对各村委会经公示无误的补贴基本信息情况表（分户情况）汇总，由乡镇（街道）主要负责人签字并加盖乡镇（街道）公章，一式两份，一份留存归档，一份报县（区）级农业农村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eastAsia="zh-CN"/>
        </w:rPr>
        <w:t>（五）汇总抽查确认。</w:t>
      </w:r>
      <w:r>
        <w:rPr>
          <w:rFonts w:hint="eastAsia" w:ascii="仿宋" w:hAnsi="仿宋" w:eastAsia="仿宋" w:cs="仿宋"/>
          <w:color w:val="000000"/>
          <w:kern w:val="0"/>
          <w:sz w:val="32"/>
          <w:szCs w:val="32"/>
          <w:lang w:eastAsia="zh-CN"/>
        </w:rPr>
        <w:t>县（区）级农业农村局汇总核验全县（区）补贴基本信息，并将汇总信息报县（区）级政府，由县（区）级政府组织有关部门对上报补贴基本信息情况进行抽查、核验并确认。于</w:t>
      </w:r>
      <w:r>
        <w:rPr>
          <w:rFonts w:hint="eastAsia" w:ascii="仿宋" w:hAnsi="仿宋" w:eastAsia="仿宋" w:cs="仿宋"/>
          <w:color w:val="000000"/>
          <w:kern w:val="0"/>
          <w:sz w:val="32"/>
          <w:szCs w:val="32"/>
          <w:lang w:val="en-US" w:eastAsia="zh-CN"/>
        </w:rPr>
        <w:t>7月31日前将全县</w:t>
      </w:r>
      <w:r>
        <w:rPr>
          <w:rFonts w:hint="eastAsia" w:ascii="仿宋" w:hAnsi="仿宋" w:eastAsia="仿宋" w:cs="仿宋"/>
          <w:color w:val="000000"/>
          <w:kern w:val="0"/>
          <w:sz w:val="32"/>
          <w:szCs w:val="32"/>
          <w:lang w:eastAsia="zh-CN"/>
        </w:rPr>
        <w:t>（区）</w:t>
      </w:r>
      <w:r>
        <w:rPr>
          <w:rFonts w:hint="eastAsia" w:ascii="仿宋" w:hAnsi="仿宋" w:eastAsia="仿宋" w:cs="仿宋"/>
          <w:color w:val="000000"/>
          <w:kern w:val="0"/>
          <w:sz w:val="32"/>
          <w:szCs w:val="32"/>
          <w:lang w:val="en-US" w:eastAsia="zh-CN"/>
        </w:rPr>
        <w:t>玉米、大豆、稻谷生产者补贴面积核查报告（附件1）以正式公函报市农业农村局。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default"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eastAsia="zh-CN"/>
        </w:rPr>
        <w:t>（六）动态信息管理。</w:t>
      </w:r>
      <w:r>
        <w:rPr>
          <w:rFonts w:hint="eastAsia" w:ascii="仿宋" w:hAnsi="仿宋" w:eastAsia="仿宋" w:cs="仿宋"/>
          <w:color w:val="000000"/>
          <w:kern w:val="0"/>
          <w:sz w:val="32"/>
          <w:szCs w:val="32"/>
          <w:lang w:eastAsia="zh-CN"/>
        </w:rPr>
        <w:t>各乡镇政府要组织农业等相关部门切实加强玉米、大豆、稻谷生产者补贴信息档案管理，建立完善补贴信息动态管理制度，及时掌握土地流转情况，对补贴基本信息实施动态更新，确保相关补贴信息真实完整。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四、补贴资金发放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000000"/>
          <w:kern w:val="0"/>
          <w:sz w:val="32"/>
          <w:szCs w:val="32"/>
          <w:lang w:eastAsia="zh-CN"/>
        </w:rPr>
        <w:t>市农业农村局对各县（区）上报的补贴面积等申报材料进行审查后向市财政局提出资金分配意见，市财政局根据资金分配意见按程序将补贴资金拨付至各县区，各县财政局将补贴资金通过“一卡通”发放给补贴对象。各县（区）要</w:t>
      </w:r>
      <w:r>
        <w:rPr>
          <w:rFonts w:hint="eastAsia" w:ascii="仿宋" w:hAnsi="仿宋" w:eastAsia="仿宋" w:cs="仿宋"/>
          <w:sz w:val="32"/>
          <w:szCs w:val="32"/>
        </w:rPr>
        <w:t>将生产者补贴纳入粮食风险基金专户管理</w:t>
      </w:r>
      <w:r>
        <w:rPr>
          <w:rFonts w:hint="eastAsia" w:ascii="仿宋" w:hAnsi="仿宋" w:eastAsia="仿宋" w:cs="仿宋"/>
          <w:sz w:val="32"/>
          <w:szCs w:val="32"/>
          <w:lang w:eastAsia="zh-CN"/>
        </w:rPr>
        <w:t>，</w:t>
      </w:r>
      <w:r>
        <w:rPr>
          <w:rFonts w:hint="eastAsia" w:ascii="仿宋" w:hAnsi="仿宋" w:eastAsia="仿宋" w:cs="仿宋"/>
          <w:color w:val="auto"/>
          <w:sz w:val="32"/>
          <w:szCs w:val="32"/>
        </w:rPr>
        <w:t>补贴资金</w:t>
      </w:r>
      <w:r>
        <w:rPr>
          <w:rFonts w:hint="eastAsia" w:ascii="仿宋" w:hAnsi="仿宋" w:eastAsia="仿宋" w:cs="仿宋"/>
          <w:color w:val="auto"/>
          <w:sz w:val="32"/>
          <w:szCs w:val="32"/>
          <w:lang w:eastAsia="zh-CN"/>
        </w:rPr>
        <w:t>专项用于</w:t>
      </w:r>
      <w:r>
        <w:rPr>
          <w:rFonts w:hint="eastAsia" w:ascii="仿宋" w:hAnsi="仿宋" w:eastAsia="仿宋" w:cs="仿宋"/>
          <w:color w:val="auto"/>
          <w:sz w:val="32"/>
          <w:szCs w:val="32"/>
        </w:rPr>
        <w:t>玉米、大豆</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稻谷生产者</w:t>
      </w:r>
      <w:r>
        <w:rPr>
          <w:rFonts w:hint="eastAsia" w:ascii="仿宋" w:hAnsi="仿宋" w:eastAsia="仿宋" w:cs="仿宋"/>
          <w:color w:val="auto"/>
          <w:sz w:val="32"/>
          <w:szCs w:val="32"/>
          <w:lang w:eastAsia="zh-CN"/>
        </w:rPr>
        <w:t>补贴</w:t>
      </w:r>
      <w:r>
        <w:rPr>
          <w:rFonts w:hint="eastAsia" w:ascii="仿宋" w:hAnsi="仿宋" w:eastAsia="仿宋" w:cs="仿宋"/>
          <w:color w:val="auto"/>
          <w:sz w:val="32"/>
          <w:szCs w:val="32"/>
        </w:rPr>
        <w:t>，不得调剂用于种植结构调整。</w:t>
      </w:r>
      <w:r>
        <w:rPr>
          <w:rFonts w:hint="eastAsia" w:ascii="仿宋" w:hAnsi="仿宋" w:eastAsia="仿宋" w:cs="仿宋"/>
          <w:color w:val="auto"/>
          <w:sz w:val="32"/>
          <w:szCs w:val="32"/>
          <w:lang w:eastAsia="zh-CN"/>
        </w:rPr>
        <w:t>以前年度的生产者补贴结余结转资金要与本年补贴资金统筹发放。补贴资金发放工作必须按要求于</w:t>
      </w:r>
      <w:r>
        <w:rPr>
          <w:rFonts w:hint="eastAsia" w:ascii="仿宋" w:hAnsi="仿宋" w:eastAsia="仿宋" w:cs="仿宋"/>
          <w:color w:val="auto"/>
          <w:sz w:val="32"/>
          <w:szCs w:val="32"/>
          <w:lang w:val="en-US" w:eastAsia="zh-CN"/>
        </w:rPr>
        <w:t>10月31日前全部完成。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auto"/>
          <w:sz w:val="32"/>
          <w:szCs w:val="32"/>
          <w:lang w:val="en-US" w:eastAsia="zh-CN"/>
        </w:rPr>
        <w:t>补贴资金发放完成后，由乡镇（街道）政府组织以村为单位公示公告，内容包括补贴对象姓名、补贴面积、补贴标准、补贴金额以及完成补贴发放的时间，</w:t>
      </w:r>
      <w:r>
        <w:rPr>
          <w:rFonts w:hint="eastAsia" w:ascii="仿宋" w:hAnsi="仿宋" w:eastAsia="仿宋" w:cs="仿宋"/>
          <w:color w:val="000000"/>
          <w:kern w:val="0"/>
          <w:sz w:val="32"/>
          <w:szCs w:val="32"/>
          <w:lang w:eastAsia="zh-CN"/>
        </w:rPr>
        <w:t>公示时间不少于5天。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黑体" w:hAnsi="黑体" w:eastAsia="黑体" w:cs="黑体"/>
          <w:color w:val="000000"/>
          <w:kern w:val="0"/>
          <w:sz w:val="32"/>
          <w:szCs w:val="32"/>
          <w:lang w:eastAsia="zh-CN"/>
        </w:rPr>
      </w:pPr>
      <w:r>
        <w:rPr>
          <w:rFonts w:hint="eastAsia" w:ascii="黑体" w:hAnsi="黑体" w:eastAsia="黑体" w:cs="黑体"/>
          <w:color w:val="000000"/>
          <w:kern w:val="0"/>
          <w:sz w:val="32"/>
          <w:szCs w:val="32"/>
          <w:lang w:eastAsia="zh-CN"/>
        </w:rPr>
        <w:t>五、工作要求</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ascii="Times New Roman" w:hAnsi="Times New Roman" w:eastAsia="仿宋_GB2312" w:cs="Times New Roman"/>
          <w:sz w:val="32"/>
          <w:szCs w:val="32"/>
        </w:rPr>
      </w:pPr>
      <w:r>
        <w:rPr>
          <w:rFonts w:hint="eastAsia" w:ascii="楷体" w:hAnsi="楷体" w:eastAsia="楷体" w:cs="楷体"/>
          <w:color w:val="000000"/>
          <w:kern w:val="0"/>
          <w:sz w:val="32"/>
          <w:szCs w:val="32"/>
          <w:lang w:eastAsia="zh-CN"/>
        </w:rPr>
        <w:t>（一）加强组织领导。</w:t>
      </w:r>
      <w:r>
        <w:rPr>
          <w:rFonts w:hint="eastAsia" w:ascii="仿宋" w:hAnsi="仿宋" w:eastAsia="仿宋" w:cs="仿宋"/>
          <w:color w:val="000000"/>
          <w:kern w:val="0"/>
          <w:sz w:val="32"/>
          <w:szCs w:val="32"/>
          <w:lang w:eastAsia="zh-CN"/>
        </w:rPr>
        <w:t>市农业农村局和市财政局统筹推进全市补贴政策落实，各县（区）要进一步加强组织领导，充分认识生产者补贴制度的重大意义，结合实际及时制定补贴实施方案，明确责任分工，确保补贴政策贯彻落实。</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楷体" w:hAnsi="楷体" w:eastAsia="楷体" w:cs="楷体"/>
          <w:color w:val="000000"/>
          <w:kern w:val="0"/>
          <w:sz w:val="32"/>
          <w:szCs w:val="32"/>
          <w:lang w:eastAsia="zh-CN"/>
        </w:rPr>
        <w:t>（二）进一步做好公开公示工作。</w:t>
      </w:r>
      <w:r>
        <w:rPr>
          <w:rFonts w:hint="eastAsia" w:ascii="仿宋" w:hAnsi="仿宋" w:eastAsia="仿宋" w:cs="仿宋"/>
          <w:color w:val="000000"/>
          <w:kern w:val="0"/>
          <w:sz w:val="32"/>
          <w:szCs w:val="32"/>
          <w:lang w:eastAsia="zh-CN"/>
        </w:rPr>
        <w:t>加强政策宣传。县（区）、各乡镇（街道）及村级要结合实际，利用融媒体、微信群、公众号等载体，通过图表、短视频、动画等方式加大政策宣传力度。畅通咨询渠道，及时解答农民群众关心的政策问题，推动政策宣传走深走实。市级咨询电话：431038</w:t>
      </w:r>
      <w:r>
        <w:rPr>
          <w:rFonts w:hint="eastAsia" w:ascii="仿宋" w:hAnsi="仿宋" w:eastAsia="仿宋" w:cs="仿宋"/>
          <w:color w:val="000000"/>
          <w:kern w:val="0"/>
          <w:sz w:val="32"/>
          <w:szCs w:val="32"/>
          <w:lang w:val="en-US" w:eastAsia="zh-CN"/>
        </w:rPr>
        <w:t>33</w:t>
      </w:r>
      <w:r>
        <w:rPr>
          <w:rFonts w:hint="eastAsia" w:ascii="仿宋" w:hAnsi="仿宋" w:eastAsia="仿宋" w:cs="仿宋"/>
          <w:color w:val="000000"/>
          <w:kern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做好公开公示。及时公布补贴标准，稳定农户种植预期。严格落实补贴发放公示相关规定，严格遵守公示期限要求，杜绝“事后补公示”。公示内容需明确监督举报方式，除涉及个人隐私外，不得隐瞒任何关键信息。公示期间收到异议的，要及时组织核查核实，依法依规整改纠正；公示无异议后，方可进入资金拨付环节。村级组织应建立公示公开信息台账，县（区）级农业农村部门对村级公示情况进行现场抽查核实，并定期对公示台账进行抽查复核。</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楷体" w:hAnsi="楷体" w:eastAsia="楷体" w:cs="楷体"/>
          <w:color w:val="000000"/>
          <w:kern w:val="0"/>
          <w:sz w:val="32"/>
          <w:szCs w:val="32"/>
          <w:lang w:eastAsia="zh-CN"/>
        </w:rPr>
        <w:t>（三）统筹实施补贴政策。</w:t>
      </w:r>
      <w:r>
        <w:rPr>
          <w:rFonts w:hint="eastAsia" w:ascii="仿宋" w:hAnsi="仿宋" w:eastAsia="仿宋" w:cs="仿宋"/>
          <w:color w:val="000000"/>
          <w:kern w:val="0"/>
          <w:sz w:val="32"/>
          <w:szCs w:val="32"/>
          <w:lang w:eastAsia="zh-CN"/>
        </w:rPr>
        <w:t>要统筹衔接玉米和大豆生产者补贴、稻谷生产者补贴和耕地地力保护补贴等补贴政策，减少面积核实次数，尽量做到相关补贴面积统一核实，数据信息共享，减少面积核实、“一卡通”录入次数，减少基层工作负担，提高补贴发放效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楷体" w:hAnsi="楷体" w:eastAsia="楷体" w:cs="楷体"/>
          <w:color w:val="000000"/>
          <w:kern w:val="0"/>
          <w:sz w:val="32"/>
          <w:szCs w:val="32"/>
          <w:lang w:eastAsia="zh-CN"/>
        </w:rPr>
        <w:t>（四）强化监督检查工作。</w:t>
      </w:r>
      <w:r>
        <w:rPr>
          <w:rFonts w:hint="eastAsia" w:ascii="仿宋" w:hAnsi="仿宋" w:eastAsia="仿宋" w:cs="仿宋"/>
          <w:color w:val="000000"/>
          <w:kern w:val="0"/>
          <w:sz w:val="32"/>
          <w:szCs w:val="32"/>
          <w:lang w:eastAsia="zh-CN"/>
        </w:rPr>
        <w:t>各县（区）要加强对生产者补贴政策的指导、监督和检查工作，及时发现和解决补贴政策落实过程中存在的问题。要密切关注实际播种面积变化等因素，防止出现辖区内同一品种补贴标准差异较大的问题。补贴资金兑付完成后，市级按照一定比例开展抽查核实。加强补贴资金发放监管，严禁出现将不符合条件地块列入补贴范围、虚报面积套取补贴资金等违纪违法问题。对群众身边不正之风和腐败问题专项整治、审计和自查等渠道发现的问题，要及时、彻底进行整改，并举一反三，形成长效机制。要及时更新补贴发放基础数据、按规定变更“一卡通”平台账户信息，严禁使用已去世人员“一卡通”平台账户申报领取补贴资金，以及整户消亡继续领取补贴的情况，严禁出现多个身份证号对应同一张银行卡的情况。对弄虚作假、挤占、截留、挪用和套取补贴资金等违法违规行为，将依法依规严肃处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r>
        <w:rPr>
          <w:rFonts w:hint="eastAsia" w:ascii="楷体" w:hAnsi="楷体" w:eastAsia="楷体" w:cs="楷体"/>
          <w:color w:val="000000"/>
          <w:kern w:val="0"/>
          <w:sz w:val="32"/>
          <w:szCs w:val="32"/>
          <w:lang w:eastAsia="zh-CN"/>
        </w:rPr>
        <w:t>（五）做好年度工作总结。</w:t>
      </w:r>
      <w:r>
        <w:rPr>
          <w:rFonts w:hint="eastAsia" w:ascii="仿宋" w:hAnsi="仿宋" w:eastAsia="仿宋" w:cs="仿宋"/>
          <w:color w:val="000000"/>
          <w:kern w:val="0"/>
          <w:sz w:val="32"/>
          <w:szCs w:val="32"/>
          <w:lang w:eastAsia="zh-CN"/>
        </w:rPr>
        <w:t>各县（区）要将绩效管理融入生产者补贴资金管理全过程，加强绩效目标管理，强化绩效运行监控，及时纠正偏离绩效目标问题，加大绩效自评发现问题整改力度。2026年</w:t>
      </w:r>
      <w:r>
        <w:rPr>
          <w:rFonts w:hint="eastAsia" w:ascii="仿宋" w:hAnsi="仿宋" w:eastAsia="仿宋" w:cs="仿宋"/>
          <w:color w:val="000000"/>
          <w:kern w:val="0"/>
          <w:sz w:val="32"/>
          <w:szCs w:val="32"/>
          <w:lang w:val="en-US" w:eastAsia="zh-CN"/>
        </w:rPr>
        <w:t>11</w:t>
      </w:r>
      <w:r>
        <w:rPr>
          <w:rFonts w:hint="eastAsia" w:ascii="仿宋" w:hAnsi="仿宋" w:eastAsia="仿宋" w:cs="仿宋"/>
          <w:color w:val="000000"/>
          <w:kern w:val="0"/>
          <w:sz w:val="32"/>
          <w:szCs w:val="32"/>
          <w:lang w:eastAsia="zh-CN"/>
        </w:rPr>
        <w:t>月</w:t>
      </w:r>
      <w:r>
        <w:rPr>
          <w:rFonts w:hint="eastAsia" w:ascii="仿宋" w:hAnsi="仿宋" w:eastAsia="仿宋" w:cs="仿宋"/>
          <w:color w:val="000000"/>
          <w:kern w:val="0"/>
          <w:sz w:val="32"/>
          <w:szCs w:val="32"/>
          <w:lang w:val="en-US" w:eastAsia="zh-CN"/>
        </w:rPr>
        <w:t>30</w:t>
      </w:r>
      <w:r>
        <w:rPr>
          <w:rFonts w:hint="eastAsia" w:ascii="仿宋" w:hAnsi="仿宋" w:eastAsia="仿宋" w:cs="仿宋"/>
          <w:color w:val="000000"/>
          <w:kern w:val="0"/>
          <w:sz w:val="32"/>
          <w:szCs w:val="32"/>
          <w:lang w:eastAsia="zh-CN"/>
        </w:rPr>
        <w:t>日前，各县（区）农业农村局、财政局要向市农业农村局、市财政局上报工作总结及补贴发放进度调度表（附件</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lang w:eastAsia="zh-CN"/>
        </w:rPr>
        <w:t>）、绩效自评报告及绩效自评表（附件</w:t>
      </w:r>
      <w:r>
        <w:rPr>
          <w:rFonts w:hint="eastAsia" w:ascii="仿宋" w:hAnsi="仿宋" w:eastAsia="仿宋" w:cs="仿宋"/>
          <w:color w:val="000000"/>
          <w:kern w:val="0"/>
          <w:sz w:val="32"/>
          <w:szCs w:val="32"/>
          <w:lang w:val="en-US" w:eastAsia="zh-CN"/>
        </w:rPr>
        <w:t>4</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lang w:eastAsia="zh-CN"/>
        </w:rPr>
        <w:t>）。同时，将补贴发放明细通过光盘或公文传输系统报市农业农村局。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82" w:firstLineChars="200"/>
        <w:jc w:val="both"/>
        <w:textAlignment w:val="auto"/>
        <w:rPr>
          <w:rFonts w:hint="eastAsia" w:ascii="仿宋" w:hAnsi="仿宋" w:eastAsia="仿宋" w:cs="仿宋"/>
          <w:color w:val="000000"/>
          <w:kern w:val="0"/>
          <w:sz w:val="32"/>
          <w:szCs w:val="32"/>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066" w:leftChars="304" w:hanging="1364" w:hangingChars="400"/>
        <w:jc w:val="both"/>
        <w:textAlignment w:val="auto"/>
        <w:rPr>
          <w:rFonts w:hint="default"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eastAsia="zh-CN"/>
        </w:rPr>
        <w:t>附件：1.</w:t>
      </w:r>
      <w:r>
        <w:rPr>
          <w:rFonts w:hint="eastAsia" w:ascii="仿宋" w:hAnsi="仿宋" w:eastAsia="仿宋" w:cs="仿宋"/>
          <w:color w:val="000000"/>
          <w:kern w:val="0"/>
          <w:sz w:val="32"/>
          <w:szCs w:val="32"/>
          <w:lang w:val="en-US" w:eastAsia="zh-CN"/>
        </w:rPr>
        <w:t>2026年玉米、大豆、稻谷生产者补贴面积县区汇总表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096" w:leftChars="760" w:hanging="341" w:hangingChars="1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lang w:eastAsia="zh-CN"/>
        </w:rPr>
        <w:t xml:space="preserve">2026年玉米和大豆生产者补贴发放进度调度表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096" w:leftChars="760" w:hanging="341" w:hangingChars="100"/>
        <w:jc w:val="both"/>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3.2026年稻谷生产者补贴发放进度调度表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096" w:leftChars="760" w:hanging="341" w:hangingChars="100"/>
        <w:jc w:val="both"/>
        <w:textAlignment w:val="auto"/>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val="en-US" w:eastAsia="zh-CN"/>
        </w:rPr>
        <w:t>4.目标价格补贴（玉米和大豆）绩效自评表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096" w:leftChars="760" w:hanging="341" w:hangingChars="100"/>
        <w:jc w:val="both"/>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5.目标价格补贴（稻谷）绩效自评表</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096" w:leftChars="760" w:hanging="341" w:hangingChars="100"/>
        <w:jc w:val="both"/>
        <w:textAlignment w:val="auto"/>
        <w:rPr>
          <w:rFonts w:hint="eastAsia" w:ascii="仿宋" w:hAnsi="仿宋" w:eastAsia="仿宋" w:cs="仿宋"/>
          <w:color w:val="000000"/>
          <w:kern w:val="0"/>
          <w:sz w:val="32"/>
          <w:szCs w:val="32"/>
          <w:lang w:val="en-US" w:eastAsia="zh-CN"/>
        </w:rPr>
        <w:sectPr>
          <w:footerReference r:id="rId4" w:type="default"/>
          <w:pgSz w:w="11850" w:h="16838"/>
          <w:pgMar w:top="2098" w:right="1474" w:bottom="1984" w:left="1587" w:header="851" w:footer="1417" w:gutter="0"/>
          <w:pgNumType w:fmt="decimal" w:start="2"/>
          <w:cols w:space="0" w:num="1"/>
          <w:rtlGutter w:val="0"/>
          <w:docGrid w:type="linesAndChars" w:linePitch="312" w:charSpace="4360"/>
        </w:sectPr>
      </w:pPr>
      <w:r>
        <w:rPr>
          <w:rFonts w:hint="eastAsia" w:ascii="仿宋" w:hAnsi="仿宋" w:eastAsia="仿宋" w:cs="仿宋"/>
          <w:color w:val="000000"/>
          <w:kern w:val="0"/>
          <w:sz w:val="32"/>
          <w:szCs w:val="32"/>
          <w:lang w:val="en-US" w:eastAsia="zh-CN"/>
        </w:rPr>
        <w:t xml:space="preserve">6.2026年支持高油高蛋白优质大豆生产发展政策实施方案  </w:t>
      </w:r>
    </w:p>
    <w:tbl>
      <w:tblPr>
        <w:tblStyle w:val="4"/>
        <w:tblpPr w:leftFromText="180" w:rightFromText="180" w:vertAnchor="text" w:horzAnchor="page" w:tblpX="1667" w:tblpY="411"/>
        <w:tblOverlap w:val="never"/>
        <w:tblW w:w="144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95"/>
        <w:gridCol w:w="1505"/>
        <w:gridCol w:w="1650"/>
        <w:gridCol w:w="1755"/>
        <w:gridCol w:w="1935"/>
        <w:gridCol w:w="1755"/>
        <w:gridCol w:w="2010"/>
        <w:gridCol w:w="19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95"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仿宋_GB2312" w:hAnsi="宋体" w:eastAsia="仿宋_GB2312" w:cs="仿宋_GB2312"/>
                <w:i w:val="0"/>
                <w:color w:val="000000"/>
                <w:sz w:val="28"/>
                <w:szCs w:val="28"/>
                <w:u w:val="none"/>
              </w:rPr>
            </w:pPr>
            <w:r>
              <w:rPr>
                <w:rFonts w:hint="eastAsia" w:ascii="黑体" w:hAnsi="黑体" w:eastAsia="黑体" w:cs="黑体"/>
                <w:i w:val="0"/>
                <w:color w:val="000000"/>
                <w:kern w:val="0"/>
                <w:sz w:val="32"/>
                <w:szCs w:val="32"/>
                <w:u w:val="none"/>
                <w:lang w:val="en-US" w:eastAsia="zh-CN" w:bidi="ar"/>
              </w:rPr>
              <w:t>附件1-1</w:t>
            </w:r>
            <w:r>
              <w:rPr>
                <w:rFonts w:hint="eastAsia" w:asciiTheme="minorEastAsia" w:hAnsiTheme="minorEastAsia" w:eastAsiaTheme="minorEastAsia" w:cstheme="minorEastAsia"/>
                <w:i w:val="0"/>
                <w:color w:val="000000"/>
                <w:kern w:val="0"/>
                <w:sz w:val="28"/>
                <w:szCs w:val="28"/>
                <w:u w:val="none"/>
                <w:lang w:val="en-US" w:eastAsia="zh-CN" w:bidi="ar"/>
              </w:rPr>
              <w:t xml:space="preserve"> </w:t>
            </w:r>
            <w:r>
              <w:rPr>
                <w:rFonts w:hint="eastAsia" w:ascii="仿宋_GB2312" w:hAnsi="宋体" w:eastAsia="仿宋_GB2312" w:cs="仿宋_GB2312"/>
                <w:i w:val="0"/>
                <w:color w:val="000000"/>
                <w:kern w:val="0"/>
                <w:sz w:val="28"/>
                <w:szCs w:val="28"/>
                <w:u w:val="none"/>
                <w:lang w:val="en-US" w:eastAsia="zh-CN" w:bidi="ar"/>
              </w:rPr>
              <w:t xml:space="preserve"> </w:t>
            </w:r>
          </w:p>
        </w:tc>
        <w:tc>
          <w:tcPr>
            <w:tcW w:w="150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650"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93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2010"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99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400" w:type="dxa"/>
            <w:gridSpan w:val="8"/>
            <w:tcBorders>
              <w:top w:val="nil"/>
              <w:left w:val="nil"/>
              <w:bottom w:val="nil"/>
              <w:right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bottom"/>
              <w:rPr>
                <w:rFonts w:ascii="Calibri" w:hAnsi="Calibri" w:eastAsia="宋体" w:cs="Calibri"/>
                <w:b/>
                <w:i w:val="0"/>
                <w:color w:val="000000"/>
                <w:sz w:val="44"/>
                <w:szCs w:val="44"/>
                <w:u w:val="none"/>
              </w:rPr>
            </w:pPr>
            <w:r>
              <w:rPr>
                <w:rFonts w:hint="eastAsia" w:ascii="方正小标宋简体" w:hAnsi="方正小标宋简体" w:eastAsia="方正小标宋简体" w:cs="方正小标宋简体"/>
                <w:b w:val="0"/>
                <w:bCs/>
                <w:i w:val="0"/>
                <w:color w:val="000000"/>
                <w:kern w:val="0"/>
                <w:sz w:val="44"/>
                <w:szCs w:val="44"/>
                <w:u w:val="none"/>
                <w:lang w:val="en-US" w:eastAsia="zh-CN" w:bidi="ar"/>
              </w:rPr>
              <w:t>2026年玉米生产者补贴面积县区汇总表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填报单位（公章）：                                                                             年__月__日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150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乡镇名称</w:t>
            </w:r>
          </w:p>
        </w:tc>
        <w:tc>
          <w:tcPr>
            <w:tcW w:w="1650"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村数</w:t>
            </w:r>
          </w:p>
        </w:tc>
        <w:tc>
          <w:tcPr>
            <w:tcW w:w="175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组数</w:t>
            </w:r>
          </w:p>
        </w:tc>
        <w:tc>
          <w:tcPr>
            <w:tcW w:w="193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申报补贴户数</w:t>
            </w:r>
          </w:p>
        </w:tc>
        <w:tc>
          <w:tcPr>
            <w:tcW w:w="5760" w:type="dxa"/>
            <w:gridSpan w:val="3"/>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补贴面积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5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65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93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合计</w:t>
            </w:r>
          </w:p>
        </w:tc>
        <w:tc>
          <w:tcPr>
            <w:tcW w:w="4005"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耕地属性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5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65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93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承包</w:t>
            </w:r>
          </w:p>
        </w:tc>
        <w:tc>
          <w:tcPr>
            <w:tcW w:w="1995"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流转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合计</w:t>
            </w: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both"/>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注：申报面积单位为亩（666.7m</w:t>
            </w:r>
            <w:r>
              <w:rPr>
                <w:rFonts w:hint="eastAsia" w:ascii="宋体" w:hAnsi="宋体" w:eastAsia="宋体" w:cs="宋体"/>
                <w:i w:val="0"/>
                <w:color w:val="000000"/>
                <w:kern w:val="0"/>
                <w:sz w:val="24"/>
                <w:szCs w:val="24"/>
                <w:u w:val="none"/>
                <w:vertAlign w:val="superscript"/>
                <w:lang w:val="en-US" w:eastAsia="zh-CN" w:bidi="ar"/>
              </w:rPr>
              <w:t>2</w:t>
            </w:r>
            <w:r>
              <w:rPr>
                <w:rFonts w:hint="eastAsia" w:ascii="宋体" w:hAnsi="宋体" w:eastAsia="宋体" w:cs="宋体"/>
                <w:i w:val="0"/>
                <w:color w:val="000000"/>
                <w:kern w:val="0"/>
                <w:sz w:val="24"/>
                <w:szCs w:val="24"/>
                <w:u w:val="none"/>
                <w:lang w:val="en-US" w:eastAsia="zh-CN" w:bidi="ar"/>
              </w:rPr>
              <w:t>），保留小数点后两位，4舍5入。此表报市农业农村局备案。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负责人签字：                                  填报人签字：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1916" w:leftChars="760" w:hanging="320" w:hangingChars="100"/>
        <w:jc w:val="both"/>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 xml:space="preserve">    </w:t>
      </w:r>
    </w:p>
    <w:p>
      <w:pPr>
        <w:rPr>
          <w:rFonts w:hint="eastAsia" w:ascii="仿宋" w:hAnsi="仿宋" w:eastAsia="仿宋" w:cs="仿宋"/>
          <w:color w:val="000000"/>
          <w:kern w:val="0"/>
          <w:sz w:val="32"/>
          <w:szCs w:val="32"/>
          <w:lang w:val="en-US" w:eastAsia="zh-CN"/>
        </w:rPr>
      </w:pPr>
    </w:p>
    <w:tbl>
      <w:tblPr>
        <w:tblStyle w:val="4"/>
        <w:tblpPr w:leftFromText="180" w:rightFromText="180" w:vertAnchor="text" w:horzAnchor="page" w:tblpX="1667" w:tblpY="411"/>
        <w:tblOverlap w:val="never"/>
        <w:tblW w:w="144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95"/>
        <w:gridCol w:w="1505"/>
        <w:gridCol w:w="1650"/>
        <w:gridCol w:w="1755"/>
        <w:gridCol w:w="1935"/>
        <w:gridCol w:w="1755"/>
        <w:gridCol w:w="2010"/>
        <w:gridCol w:w="19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95"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仿宋_GB2312" w:hAnsi="宋体" w:eastAsia="仿宋_GB2312" w:cs="仿宋_GB2312"/>
                <w:i w:val="0"/>
                <w:color w:val="000000"/>
                <w:sz w:val="28"/>
                <w:szCs w:val="28"/>
                <w:u w:val="none"/>
              </w:rPr>
            </w:pPr>
            <w:r>
              <w:rPr>
                <w:rFonts w:hint="eastAsia" w:ascii="黑体" w:hAnsi="黑体" w:eastAsia="黑体" w:cs="黑体"/>
                <w:i w:val="0"/>
                <w:color w:val="000000"/>
                <w:kern w:val="0"/>
                <w:sz w:val="32"/>
                <w:szCs w:val="32"/>
                <w:u w:val="none"/>
                <w:lang w:val="en-US" w:eastAsia="zh-CN" w:bidi="ar"/>
              </w:rPr>
              <w:t>附件1-2</w:t>
            </w:r>
            <w:r>
              <w:rPr>
                <w:rFonts w:hint="eastAsia" w:asciiTheme="minorEastAsia" w:hAnsiTheme="minorEastAsia" w:eastAsiaTheme="minorEastAsia" w:cstheme="minorEastAsia"/>
                <w:i w:val="0"/>
                <w:color w:val="000000"/>
                <w:kern w:val="0"/>
                <w:sz w:val="28"/>
                <w:szCs w:val="28"/>
                <w:u w:val="none"/>
                <w:lang w:val="en-US" w:eastAsia="zh-CN" w:bidi="ar"/>
              </w:rPr>
              <w:t xml:space="preserve"> </w:t>
            </w:r>
            <w:r>
              <w:rPr>
                <w:rFonts w:hint="eastAsia" w:ascii="仿宋_GB2312" w:hAnsi="宋体" w:eastAsia="仿宋_GB2312" w:cs="仿宋_GB2312"/>
                <w:i w:val="0"/>
                <w:color w:val="000000"/>
                <w:kern w:val="0"/>
                <w:sz w:val="28"/>
                <w:szCs w:val="28"/>
                <w:u w:val="none"/>
                <w:lang w:val="en-US" w:eastAsia="zh-CN" w:bidi="ar"/>
              </w:rPr>
              <w:t xml:space="preserve"> </w:t>
            </w:r>
          </w:p>
        </w:tc>
        <w:tc>
          <w:tcPr>
            <w:tcW w:w="150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650"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93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2010"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99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400" w:type="dxa"/>
            <w:gridSpan w:val="8"/>
            <w:tcBorders>
              <w:top w:val="nil"/>
              <w:left w:val="nil"/>
              <w:bottom w:val="nil"/>
              <w:right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bottom"/>
              <w:rPr>
                <w:rFonts w:ascii="Calibri" w:hAnsi="Calibri" w:eastAsia="宋体" w:cs="Calibri"/>
                <w:b/>
                <w:i w:val="0"/>
                <w:color w:val="000000"/>
                <w:sz w:val="44"/>
                <w:szCs w:val="44"/>
                <w:u w:val="none"/>
              </w:rPr>
            </w:pPr>
            <w:r>
              <w:rPr>
                <w:rFonts w:hint="eastAsia" w:ascii="方正小标宋简体" w:hAnsi="方正小标宋简体" w:eastAsia="方正小标宋简体" w:cs="方正小标宋简体"/>
                <w:b w:val="0"/>
                <w:bCs/>
                <w:i w:val="0"/>
                <w:color w:val="000000"/>
                <w:kern w:val="0"/>
                <w:sz w:val="44"/>
                <w:szCs w:val="44"/>
                <w:u w:val="none"/>
                <w:lang w:val="en-US" w:eastAsia="zh-CN" w:bidi="ar"/>
              </w:rPr>
              <w:t>2026年大豆生产者补贴面积县区汇总表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填报单位（公章）：                                                                             年__月__日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150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乡镇名称</w:t>
            </w:r>
          </w:p>
        </w:tc>
        <w:tc>
          <w:tcPr>
            <w:tcW w:w="1650"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村数</w:t>
            </w:r>
          </w:p>
        </w:tc>
        <w:tc>
          <w:tcPr>
            <w:tcW w:w="175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组数</w:t>
            </w:r>
          </w:p>
        </w:tc>
        <w:tc>
          <w:tcPr>
            <w:tcW w:w="193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申报补贴户数</w:t>
            </w:r>
          </w:p>
        </w:tc>
        <w:tc>
          <w:tcPr>
            <w:tcW w:w="5760" w:type="dxa"/>
            <w:gridSpan w:val="3"/>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补贴面积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5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65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93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合计</w:t>
            </w:r>
          </w:p>
        </w:tc>
        <w:tc>
          <w:tcPr>
            <w:tcW w:w="4005"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耕地属性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5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65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93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承包</w:t>
            </w:r>
          </w:p>
        </w:tc>
        <w:tc>
          <w:tcPr>
            <w:tcW w:w="1995"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流转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合计</w:t>
            </w: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both"/>
              <w:textAlignment w:val="bottom"/>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注：申报面积单位为亩（666.7m</w:t>
            </w:r>
            <w:r>
              <w:rPr>
                <w:rFonts w:hint="eastAsia" w:ascii="宋体" w:hAnsi="宋体" w:eastAsia="宋体" w:cs="宋体"/>
                <w:i w:val="0"/>
                <w:color w:val="000000"/>
                <w:kern w:val="0"/>
                <w:sz w:val="24"/>
                <w:szCs w:val="24"/>
                <w:u w:val="none"/>
                <w:vertAlign w:val="superscript"/>
                <w:lang w:val="en-US" w:eastAsia="zh-CN" w:bidi="ar"/>
              </w:rPr>
              <w:t>2</w:t>
            </w:r>
            <w:r>
              <w:rPr>
                <w:rFonts w:hint="eastAsia" w:ascii="宋体" w:hAnsi="宋体" w:eastAsia="宋体" w:cs="宋体"/>
                <w:i w:val="0"/>
                <w:color w:val="000000"/>
                <w:kern w:val="0"/>
                <w:sz w:val="24"/>
                <w:szCs w:val="24"/>
                <w:u w:val="none"/>
                <w:lang w:val="en-US" w:eastAsia="zh-CN" w:bidi="ar"/>
              </w:rPr>
              <w:t>），保留小数点后两位，4舍5入。此表报市农业农村局备案。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负责人签字：                                  填报人签字：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795"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仿宋_GB2312" w:hAnsi="宋体" w:eastAsia="仿宋_GB2312" w:cs="仿宋_GB2312"/>
                <w:i w:val="0"/>
                <w:color w:val="000000"/>
                <w:sz w:val="28"/>
                <w:szCs w:val="28"/>
                <w:u w:val="none"/>
              </w:rPr>
            </w:pPr>
            <w:r>
              <w:rPr>
                <w:rFonts w:hint="eastAsia" w:ascii="黑体" w:hAnsi="黑体" w:eastAsia="黑体" w:cs="黑体"/>
                <w:i w:val="0"/>
                <w:color w:val="000000"/>
                <w:kern w:val="0"/>
                <w:sz w:val="32"/>
                <w:szCs w:val="32"/>
                <w:u w:val="none"/>
                <w:lang w:val="en-US" w:eastAsia="zh-CN" w:bidi="ar"/>
              </w:rPr>
              <w:t>附件1-3</w:t>
            </w:r>
            <w:r>
              <w:rPr>
                <w:rFonts w:hint="eastAsia" w:asciiTheme="minorEastAsia" w:hAnsiTheme="minorEastAsia" w:eastAsiaTheme="minorEastAsia" w:cstheme="minorEastAsia"/>
                <w:i w:val="0"/>
                <w:color w:val="000000"/>
                <w:kern w:val="0"/>
                <w:sz w:val="28"/>
                <w:szCs w:val="28"/>
                <w:u w:val="none"/>
                <w:lang w:val="en-US" w:eastAsia="zh-CN" w:bidi="ar"/>
              </w:rPr>
              <w:t xml:space="preserve"> </w:t>
            </w:r>
            <w:r>
              <w:rPr>
                <w:rFonts w:hint="eastAsia" w:ascii="仿宋_GB2312" w:hAnsi="宋体" w:eastAsia="仿宋_GB2312" w:cs="仿宋_GB2312"/>
                <w:i w:val="0"/>
                <w:color w:val="000000"/>
                <w:kern w:val="0"/>
                <w:sz w:val="28"/>
                <w:szCs w:val="28"/>
                <w:u w:val="none"/>
                <w:lang w:val="en-US" w:eastAsia="zh-CN" w:bidi="ar"/>
              </w:rPr>
              <w:t xml:space="preserve"> </w:t>
            </w:r>
          </w:p>
        </w:tc>
        <w:tc>
          <w:tcPr>
            <w:tcW w:w="150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650"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93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75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2010"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c>
          <w:tcPr>
            <w:tcW w:w="1995" w:type="dxa"/>
            <w:tcBorders>
              <w:top w:val="nil"/>
              <w:left w:val="nil"/>
              <w:bottom w:val="nil"/>
              <w:right w:val="nil"/>
            </w:tcBorders>
            <w:shd w:val="clear" w:color="auto" w:fill="auto"/>
            <w:noWrap/>
            <w:vAlign w:val="bottom"/>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4400" w:type="dxa"/>
            <w:gridSpan w:val="8"/>
            <w:tcBorders>
              <w:top w:val="nil"/>
              <w:left w:val="nil"/>
              <w:bottom w:val="nil"/>
              <w:right w:val="nil"/>
            </w:tcBorders>
            <w:shd w:val="clear" w:color="auto" w:fill="auto"/>
            <w:noWrap/>
            <w:vAlign w:val="bottom"/>
          </w:tcPr>
          <w:p>
            <w:pPr>
              <w:keepNext w:val="0"/>
              <w:keepLines w:val="0"/>
              <w:pageBreakBefore w:val="0"/>
              <w:widowControl/>
              <w:suppressLineNumbers w:val="0"/>
              <w:kinsoku/>
              <w:wordWrap/>
              <w:overflowPunct/>
              <w:topLinePunct w:val="0"/>
              <w:autoSpaceDE/>
              <w:autoSpaceDN/>
              <w:bidi w:val="0"/>
              <w:adjustRightInd/>
              <w:snapToGrid/>
              <w:spacing w:line="640" w:lineRule="exact"/>
              <w:jc w:val="center"/>
              <w:textAlignment w:val="bottom"/>
              <w:rPr>
                <w:rFonts w:ascii="Calibri" w:hAnsi="Calibri" w:eastAsia="宋体" w:cs="Calibri"/>
                <w:b/>
                <w:i w:val="0"/>
                <w:color w:val="000000"/>
                <w:sz w:val="44"/>
                <w:szCs w:val="44"/>
                <w:u w:val="none"/>
              </w:rPr>
            </w:pPr>
            <w:r>
              <w:rPr>
                <w:rFonts w:hint="eastAsia" w:ascii="方正小标宋简体" w:hAnsi="方正小标宋简体" w:eastAsia="方正小标宋简体" w:cs="方正小标宋简体"/>
                <w:b w:val="0"/>
                <w:bCs/>
                <w:i w:val="0"/>
                <w:color w:val="000000"/>
                <w:kern w:val="0"/>
                <w:sz w:val="44"/>
                <w:szCs w:val="44"/>
                <w:u w:val="none"/>
                <w:lang w:val="en-US" w:eastAsia="zh-CN" w:bidi="ar"/>
              </w:rPr>
              <w:t>2026年稻谷生产者补贴面积县区汇总表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填报单位（公章）：                                                                             年__月__日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序号</w:t>
            </w:r>
          </w:p>
        </w:tc>
        <w:tc>
          <w:tcPr>
            <w:tcW w:w="150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乡镇名称</w:t>
            </w:r>
          </w:p>
        </w:tc>
        <w:tc>
          <w:tcPr>
            <w:tcW w:w="1650"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村数</w:t>
            </w:r>
          </w:p>
        </w:tc>
        <w:tc>
          <w:tcPr>
            <w:tcW w:w="175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组数</w:t>
            </w:r>
          </w:p>
        </w:tc>
        <w:tc>
          <w:tcPr>
            <w:tcW w:w="1935" w:type="dxa"/>
            <w:vMerge w:val="restart"/>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申报补贴户数</w:t>
            </w:r>
          </w:p>
        </w:tc>
        <w:tc>
          <w:tcPr>
            <w:tcW w:w="5760" w:type="dxa"/>
            <w:gridSpan w:val="3"/>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补贴面积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5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65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93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restart"/>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合计</w:t>
            </w:r>
          </w:p>
        </w:tc>
        <w:tc>
          <w:tcPr>
            <w:tcW w:w="4005" w:type="dxa"/>
            <w:gridSpan w:val="2"/>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耕地属性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50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650"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935" w:type="dxa"/>
            <w:vMerge w:val="continue"/>
            <w:tcBorders>
              <w:top w:val="single" w:color="000000" w:sz="8" w:space="0"/>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1755" w:type="dxa"/>
            <w:vMerge w:val="continue"/>
            <w:tcBorders>
              <w:top w:val="nil"/>
              <w:left w:val="nil"/>
              <w:bottom w:val="single" w:color="000000" w:sz="8" w:space="0"/>
              <w:right w:val="single" w:color="000000" w:sz="8" w:space="0"/>
            </w:tcBorders>
            <w:shd w:val="clear" w:color="auto" w:fill="auto"/>
            <w:vAlign w:val="center"/>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承包</w:t>
            </w:r>
          </w:p>
        </w:tc>
        <w:tc>
          <w:tcPr>
            <w:tcW w:w="1995"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流转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keepNext w:val="0"/>
              <w:keepLines w:val="0"/>
              <w:widowControl/>
              <w:suppressLineNumbers w:val="0"/>
              <w:jc w:val="center"/>
              <w:textAlignment w:val="bottom"/>
              <w:rPr>
                <w:rFonts w:hint="eastAsia" w:ascii="宋体" w:hAnsi="宋体" w:eastAsia="宋体" w:cs="宋体"/>
                <w:b/>
                <w:bCs/>
                <w:i w:val="0"/>
                <w:color w:val="000000"/>
                <w:sz w:val="24"/>
                <w:szCs w:val="24"/>
                <w:u w:val="none"/>
              </w:rPr>
            </w:pPr>
            <w:r>
              <w:rPr>
                <w:rFonts w:hint="eastAsia" w:ascii="宋体" w:hAnsi="宋体" w:eastAsia="宋体" w:cs="宋体"/>
                <w:b/>
                <w:bCs/>
                <w:i w:val="0"/>
                <w:color w:val="000000"/>
                <w:kern w:val="0"/>
                <w:sz w:val="24"/>
                <w:szCs w:val="24"/>
                <w:u w:val="none"/>
                <w:lang w:val="en-US" w:eastAsia="zh-CN" w:bidi="ar"/>
              </w:rPr>
              <w:t>合计</w:t>
            </w: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1795" w:type="dxa"/>
            <w:tcBorders>
              <w:top w:val="nil"/>
              <w:left w:val="single" w:color="000000" w:sz="8" w:space="0"/>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50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65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3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75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2010"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c>
          <w:tcPr>
            <w:tcW w:w="1995" w:type="dxa"/>
            <w:tcBorders>
              <w:top w:val="nil"/>
              <w:left w:val="nil"/>
              <w:bottom w:val="single" w:color="000000" w:sz="8" w:space="0"/>
              <w:right w:val="single" w:color="000000" w:sz="8" w:space="0"/>
            </w:tcBorders>
            <w:shd w:val="clear" w:color="auto" w:fill="auto"/>
            <w:vAlign w:val="bottom"/>
          </w:tcPr>
          <w:p>
            <w:pPr>
              <w:jc w:val="center"/>
              <w:rPr>
                <w:rFonts w:hint="eastAsia" w:ascii="宋体" w:hAnsi="宋体" w:eastAsia="宋体" w:cs="宋体"/>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both"/>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注：申报面积单位为亩（666.7m</w:t>
            </w:r>
            <w:r>
              <w:rPr>
                <w:rFonts w:hint="eastAsia" w:ascii="宋体" w:hAnsi="宋体" w:eastAsia="宋体" w:cs="宋体"/>
                <w:i w:val="0"/>
                <w:color w:val="000000"/>
                <w:kern w:val="0"/>
                <w:sz w:val="24"/>
                <w:szCs w:val="24"/>
                <w:u w:val="none"/>
                <w:vertAlign w:val="superscript"/>
                <w:lang w:val="en-US" w:eastAsia="zh-CN" w:bidi="ar"/>
              </w:rPr>
              <w:t>2</w:t>
            </w:r>
            <w:r>
              <w:rPr>
                <w:rFonts w:hint="eastAsia" w:ascii="宋体" w:hAnsi="宋体" w:eastAsia="宋体" w:cs="宋体"/>
                <w:i w:val="0"/>
                <w:color w:val="000000"/>
                <w:kern w:val="0"/>
                <w:sz w:val="24"/>
                <w:szCs w:val="24"/>
                <w:u w:val="none"/>
                <w:lang w:val="en-US" w:eastAsia="zh-CN" w:bidi="ar"/>
              </w:rPr>
              <w:t>），保留小数点后两位，4舍5入。此表报市农业农村局备案。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14400" w:type="dxa"/>
            <w:gridSpan w:val="8"/>
            <w:tcBorders>
              <w:top w:val="nil"/>
              <w:left w:val="nil"/>
              <w:bottom w:val="nil"/>
              <w:right w:val="nil"/>
            </w:tcBorders>
            <w:shd w:val="clear" w:color="auto" w:fill="auto"/>
            <w:noWrap/>
            <w:vAlign w:val="bottom"/>
          </w:tcPr>
          <w:p>
            <w:pPr>
              <w:keepNext w:val="0"/>
              <w:keepLines w:val="0"/>
              <w:widowControl/>
              <w:suppressLineNumbers w:val="0"/>
              <w:jc w:val="center"/>
              <w:textAlignment w:val="bottom"/>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负责人签字：                                  填报人签字：            </w:t>
            </w:r>
          </w:p>
        </w:tc>
      </w:tr>
    </w:tbl>
    <w:p>
      <w:pPr>
        <w:rPr>
          <w:rFonts w:hint="eastAsia" w:ascii="仿宋" w:hAnsi="仿宋" w:eastAsia="仿宋" w:cs="仿宋"/>
          <w:color w:val="000000"/>
          <w:kern w:val="0"/>
          <w:sz w:val="32"/>
          <w:szCs w:val="32"/>
          <w:lang w:val="en-US" w:eastAsia="zh-CN"/>
        </w:rPr>
      </w:pPr>
    </w:p>
    <w:p>
      <w:pPr>
        <w:rPr>
          <w:rFonts w:hint="eastAsia" w:ascii="仿宋" w:hAnsi="仿宋" w:eastAsia="仿宋" w:cs="仿宋"/>
          <w:color w:val="000000"/>
          <w:kern w:val="0"/>
          <w:sz w:val="32"/>
          <w:szCs w:val="32"/>
          <w:lang w:val="en-US" w:eastAsia="zh-CN"/>
        </w:rPr>
      </w:pPr>
    </w:p>
    <w:p>
      <w:pPr>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2026年玉米和大豆生产者补贴发放进度调度表</w:t>
      </w:r>
    </w:p>
    <w:p>
      <w:pPr>
        <w:ind w:firstLine="420" w:firstLineChars="200"/>
        <w:rPr>
          <w:rFonts w:ascii="Times New Roman" w:hAnsi="Times New Roman" w:eastAsia="宋体" w:cs="Times New Roman"/>
        </w:rPr>
      </w:pPr>
    </w:p>
    <w:p>
      <w:pPr>
        <w:rPr>
          <w:rFonts w:ascii="Times New Roman" w:hAnsi="Times New Roman" w:eastAsia="仿宋_GB2312" w:cs="Times New Roman"/>
          <w:sz w:val="24"/>
          <w:szCs w:val="24"/>
        </w:rPr>
      </w:pPr>
      <w:r>
        <w:rPr>
          <w:rFonts w:hint="eastAsia" w:asciiTheme="minorEastAsia" w:hAnsiTheme="minorEastAsia" w:eastAsiaTheme="minorEastAsia" w:cstheme="minorEastAsia"/>
          <w:sz w:val="24"/>
          <w:szCs w:val="24"/>
        </w:rPr>
        <w:t>农业农村部门（盖章）：                        财政部门（盖章）：                 单位：万元、万亩、元/亩、万户</w:t>
      </w:r>
      <w:r>
        <w:rPr>
          <w:rFonts w:ascii="Times New Roman" w:hAnsi="Times New Roman" w:eastAsia="仿宋_GB2312" w:cs="Times New Roman"/>
          <w:sz w:val="24"/>
          <w:szCs w:val="24"/>
        </w:rPr>
        <w:tab/>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3"/>
        <w:gridCol w:w="729"/>
        <w:gridCol w:w="898"/>
        <w:gridCol w:w="557"/>
        <w:gridCol w:w="565"/>
        <w:gridCol w:w="557"/>
        <w:gridCol w:w="729"/>
        <w:gridCol w:w="898"/>
        <w:gridCol w:w="557"/>
        <w:gridCol w:w="557"/>
        <w:gridCol w:w="557"/>
        <w:gridCol w:w="557"/>
        <w:gridCol w:w="578"/>
        <w:gridCol w:w="557"/>
        <w:gridCol w:w="729"/>
        <w:gridCol w:w="899"/>
        <w:gridCol w:w="558"/>
        <w:gridCol w:w="560"/>
        <w:gridCol w:w="560"/>
        <w:gridCol w:w="560"/>
        <w:gridCol w:w="5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94"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lang w:eastAsia="zh-CN"/>
              </w:rPr>
              <w:t>县</w:t>
            </w:r>
            <w:r>
              <w:rPr>
                <w:rFonts w:hint="eastAsia" w:ascii="宋体" w:hAnsi="宋体" w:eastAsia="宋体" w:cs="宋体"/>
                <w:b/>
                <w:bCs/>
                <w:szCs w:val="21"/>
              </w:rPr>
              <w:t>（区）</w:t>
            </w:r>
          </w:p>
        </w:tc>
        <w:tc>
          <w:tcPr>
            <w:tcW w:w="1015" w:type="pct"/>
            <w:gridSpan w:val="4"/>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玉米和大豆生产者补贴资金</w:t>
            </w:r>
          </w:p>
        </w:tc>
        <w:tc>
          <w:tcPr>
            <w:tcW w:w="1844" w:type="pct"/>
            <w:gridSpan w:val="8"/>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其中：玉米</w:t>
            </w:r>
          </w:p>
        </w:tc>
        <w:tc>
          <w:tcPr>
            <w:tcW w:w="1846" w:type="pct"/>
            <w:gridSpan w:val="8"/>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其中：大豆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294" w:type="pct"/>
            <w:vMerge w:val="continue"/>
            <w:vAlign w:val="center"/>
          </w:tcPr>
          <w:p>
            <w:pPr>
              <w:snapToGrid w:val="0"/>
              <w:jc w:val="center"/>
              <w:rPr>
                <w:rFonts w:hint="eastAsia" w:ascii="宋体" w:hAnsi="宋体" w:eastAsia="宋体" w:cs="宋体"/>
                <w:b/>
                <w:bCs/>
                <w:szCs w:val="21"/>
              </w:rPr>
            </w:pPr>
          </w:p>
        </w:tc>
        <w:tc>
          <w:tcPr>
            <w:tcW w:w="600" w:type="pct"/>
            <w:gridSpan w:val="2"/>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应发资金</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实发资金</w:t>
            </w:r>
          </w:p>
        </w:tc>
        <w:tc>
          <w:tcPr>
            <w:tcW w:w="208"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兑付比率</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核实面积</w:t>
            </w:r>
          </w:p>
        </w:tc>
        <w:tc>
          <w:tcPr>
            <w:tcW w:w="600" w:type="pct"/>
            <w:gridSpan w:val="2"/>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应发资金</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实发资金</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兑付比率</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补贴标准</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实发面积</w:t>
            </w:r>
          </w:p>
        </w:tc>
        <w:tc>
          <w:tcPr>
            <w:tcW w:w="209"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补贴户数</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核实面积</w:t>
            </w:r>
          </w:p>
        </w:tc>
        <w:tc>
          <w:tcPr>
            <w:tcW w:w="600" w:type="pct"/>
            <w:gridSpan w:val="2"/>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应发资金</w:t>
            </w:r>
          </w:p>
        </w:tc>
        <w:tc>
          <w:tcPr>
            <w:tcW w:w="206"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实发资金</w:t>
            </w:r>
          </w:p>
        </w:tc>
        <w:tc>
          <w:tcPr>
            <w:tcW w:w="207"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兑付比率</w:t>
            </w:r>
          </w:p>
        </w:tc>
        <w:tc>
          <w:tcPr>
            <w:tcW w:w="207"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补贴标准</w:t>
            </w:r>
          </w:p>
        </w:tc>
        <w:tc>
          <w:tcPr>
            <w:tcW w:w="207"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实发面积</w:t>
            </w:r>
          </w:p>
        </w:tc>
        <w:tc>
          <w:tcPr>
            <w:tcW w:w="210" w:type="pct"/>
            <w:vMerge w:val="restar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补贴户数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294" w:type="pct"/>
            <w:vMerge w:val="continue"/>
            <w:vAlign w:val="center"/>
          </w:tcPr>
          <w:p>
            <w:pPr>
              <w:snapToGrid w:val="0"/>
              <w:jc w:val="center"/>
              <w:rPr>
                <w:rFonts w:hint="eastAsia" w:ascii="宋体" w:hAnsi="宋体" w:eastAsia="宋体" w:cs="宋体"/>
                <w:b/>
                <w:bCs/>
                <w:szCs w:val="21"/>
              </w:rPr>
            </w:pPr>
          </w:p>
        </w:tc>
        <w:tc>
          <w:tcPr>
            <w:tcW w:w="269" w:type="pct"/>
            <w:vAlign w:val="center"/>
          </w:tcPr>
          <w:p>
            <w:pPr>
              <w:snapToGrid w:val="0"/>
              <w:jc w:val="center"/>
              <w:rPr>
                <w:rFonts w:hint="eastAsia" w:ascii="宋体" w:hAnsi="宋体" w:eastAsia="宋体" w:cs="宋体"/>
                <w:b/>
                <w:bCs/>
                <w:szCs w:val="21"/>
              </w:rPr>
            </w:pPr>
            <w:r>
              <w:rPr>
                <w:rFonts w:hint="eastAsia" w:ascii="宋体" w:hAnsi="宋体" w:cs="宋体"/>
                <w:b/>
                <w:bCs/>
                <w:szCs w:val="21"/>
                <w:lang w:eastAsia="zh-CN"/>
              </w:rPr>
              <w:t>市</w:t>
            </w:r>
            <w:r>
              <w:rPr>
                <w:rFonts w:hint="eastAsia" w:ascii="宋体" w:hAnsi="宋体" w:eastAsia="宋体" w:cs="宋体"/>
                <w:b/>
                <w:bCs/>
                <w:szCs w:val="21"/>
              </w:rPr>
              <w:t>当年下达资金</w:t>
            </w:r>
          </w:p>
        </w:tc>
        <w:tc>
          <w:tcPr>
            <w:tcW w:w="331" w:type="pc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以前年度结余结转资金</w:t>
            </w:r>
          </w:p>
        </w:tc>
        <w:tc>
          <w:tcPr>
            <w:tcW w:w="206" w:type="pct"/>
            <w:vMerge w:val="continue"/>
            <w:vAlign w:val="center"/>
          </w:tcPr>
          <w:p>
            <w:pPr>
              <w:snapToGrid w:val="0"/>
              <w:jc w:val="center"/>
              <w:rPr>
                <w:rFonts w:hint="eastAsia" w:ascii="宋体" w:hAnsi="宋体" w:eastAsia="宋体" w:cs="宋体"/>
                <w:b/>
                <w:bCs/>
                <w:szCs w:val="21"/>
              </w:rPr>
            </w:pPr>
          </w:p>
        </w:tc>
        <w:tc>
          <w:tcPr>
            <w:tcW w:w="208" w:type="pct"/>
            <w:vMerge w:val="continue"/>
            <w:vAlign w:val="center"/>
          </w:tcPr>
          <w:p>
            <w:pPr>
              <w:snapToGrid w:val="0"/>
              <w:jc w:val="center"/>
              <w:rPr>
                <w:rFonts w:hint="eastAsia" w:ascii="宋体" w:hAnsi="宋体" w:eastAsia="宋体" w:cs="宋体"/>
                <w:b/>
                <w:bCs/>
                <w:szCs w:val="21"/>
              </w:rPr>
            </w:pPr>
          </w:p>
        </w:tc>
        <w:tc>
          <w:tcPr>
            <w:tcW w:w="206" w:type="pct"/>
            <w:vMerge w:val="continue"/>
            <w:vAlign w:val="center"/>
          </w:tcPr>
          <w:p>
            <w:pPr>
              <w:snapToGrid w:val="0"/>
              <w:jc w:val="center"/>
              <w:rPr>
                <w:rFonts w:hint="eastAsia" w:ascii="宋体" w:hAnsi="宋体" w:eastAsia="宋体" w:cs="宋体"/>
                <w:b/>
                <w:bCs/>
                <w:szCs w:val="21"/>
              </w:rPr>
            </w:pPr>
          </w:p>
        </w:tc>
        <w:tc>
          <w:tcPr>
            <w:tcW w:w="269" w:type="pct"/>
            <w:vAlign w:val="center"/>
          </w:tcPr>
          <w:p>
            <w:pPr>
              <w:snapToGrid w:val="0"/>
              <w:jc w:val="center"/>
              <w:rPr>
                <w:rFonts w:hint="eastAsia" w:ascii="宋体" w:hAnsi="宋体" w:eastAsia="宋体" w:cs="宋体"/>
                <w:b/>
                <w:bCs/>
                <w:szCs w:val="21"/>
              </w:rPr>
            </w:pPr>
            <w:r>
              <w:rPr>
                <w:rFonts w:hint="eastAsia" w:ascii="宋体" w:hAnsi="宋体" w:cs="宋体"/>
                <w:b/>
                <w:bCs/>
                <w:szCs w:val="21"/>
                <w:lang w:eastAsia="zh-CN"/>
              </w:rPr>
              <w:t>市</w:t>
            </w:r>
            <w:r>
              <w:rPr>
                <w:rFonts w:hint="eastAsia" w:ascii="宋体" w:hAnsi="宋体" w:eastAsia="宋体" w:cs="宋体"/>
                <w:b/>
                <w:bCs/>
                <w:szCs w:val="21"/>
              </w:rPr>
              <w:t>当年下达资金</w:t>
            </w:r>
          </w:p>
        </w:tc>
        <w:tc>
          <w:tcPr>
            <w:tcW w:w="331" w:type="pc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以前年度结余结转资金</w:t>
            </w:r>
          </w:p>
        </w:tc>
        <w:tc>
          <w:tcPr>
            <w:tcW w:w="206" w:type="pct"/>
            <w:vMerge w:val="continue"/>
            <w:vAlign w:val="center"/>
          </w:tcPr>
          <w:p>
            <w:pPr>
              <w:snapToGrid w:val="0"/>
              <w:jc w:val="center"/>
              <w:rPr>
                <w:rFonts w:hint="eastAsia" w:ascii="宋体" w:hAnsi="宋体" w:eastAsia="宋体" w:cs="宋体"/>
                <w:b/>
                <w:bCs/>
                <w:szCs w:val="21"/>
              </w:rPr>
            </w:pPr>
          </w:p>
        </w:tc>
        <w:tc>
          <w:tcPr>
            <w:tcW w:w="206" w:type="pct"/>
            <w:vMerge w:val="continue"/>
            <w:vAlign w:val="center"/>
          </w:tcPr>
          <w:p>
            <w:pPr>
              <w:snapToGrid w:val="0"/>
              <w:jc w:val="center"/>
              <w:rPr>
                <w:rFonts w:hint="eastAsia" w:ascii="宋体" w:hAnsi="宋体" w:eastAsia="宋体" w:cs="宋体"/>
                <w:b/>
                <w:bCs/>
                <w:szCs w:val="21"/>
              </w:rPr>
            </w:pPr>
          </w:p>
        </w:tc>
        <w:tc>
          <w:tcPr>
            <w:tcW w:w="206" w:type="pct"/>
            <w:vMerge w:val="continue"/>
            <w:vAlign w:val="center"/>
          </w:tcPr>
          <w:p>
            <w:pPr>
              <w:snapToGrid w:val="0"/>
              <w:jc w:val="center"/>
              <w:rPr>
                <w:rFonts w:hint="eastAsia" w:ascii="宋体" w:hAnsi="宋体" w:eastAsia="宋体" w:cs="宋体"/>
                <w:b/>
                <w:bCs/>
                <w:szCs w:val="21"/>
              </w:rPr>
            </w:pPr>
          </w:p>
        </w:tc>
        <w:tc>
          <w:tcPr>
            <w:tcW w:w="206" w:type="pct"/>
            <w:vMerge w:val="continue"/>
            <w:vAlign w:val="center"/>
          </w:tcPr>
          <w:p>
            <w:pPr>
              <w:snapToGrid w:val="0"/>
              <w:jc w:val="center"/>
              <w:rPr>
                <w:rFonts w:hint="eastAsia" w:ascii="宋体" w:hAnsi="宋体" w:eastAsia="宋体" w:cs="宋体"/>
                <w:b/>
                <w:bCs/>
                <w:szCs w:val="21"/>
              </w:rPr>
            </w:pPr>
          </w:p>
        </w:tc>
        <w:tc>
          <w:tcPr>
            <w:tcW w:w="209" w:type="pct"/>
            <w:vMerge w:val="continue"/>
            <w:vAlign w:val="center"/>
          </w:tcPr>
          <w:p>
            <w:pPr>
              <w:snapToGrid w:val="0"/>
              <w:jc w:val="center"/>
              <w:rPr>
                <w:rFonts w:hint="eastAsia" w:ascii="宋体" w:hAnsi="宋体" w:eastAsia="宋体" w:cs="宋体"/>
                <w:b/>
                <w:bCs/>
                <w:szCs w:val="21"/>
              </w:rPr>
            </w:pPr>
          </w:p>
        </w:tc>
        <w:tc>
          <w:tcPr>
            <w:tcW w:w="206" w:type="pct"/>
            <w:vMerge w:val="continue"/>
            <w:vAlign w:val="center"/>
          </w:tcPr>
          <w:p>
            <w:pPr>
              <w:snapToGrid w:val="0"/>
              <w:jc w:val="center"/>
              <w:rPr>
                <w:rFonts w:hint="eastAsia" w:ascii="宋体" w:hAnsi="宋体" w:eastAsia="宋体" w:cs="宋体"/>
                <w:b/>
                <w:bCs/>
                <w:szCs w:val="21"/>
              </w:rPr>
            </w:pPr>
          </w:p>
        </w:tc>
        <w:tc>
          <w:tcPr>
            <w:tcW w:w="269" w:type="pct"/>
            <w:vAlign w:val="center"/>
          </w:tcPr>
          <w:p>
            <w:pPr>
              <w:snapToGrid w:val="0"/>
              <w:jc w:val="center"/>
              <w:rPr>
                <w:rFonts w:hint="eastAsia" w:ascii="宋体" w:hAnsi="宋体" w:eastAsia="宋体" w:cs="宋体"/>
                <w:b/>
                <w:bCs/>
                <w:szCs w:val="21"/>
              </w:rPr>
            </w:pPr>
            <w:r>
              <w:rPr>
                <w:rFonts w:hint="eastAsia" w:ascii="宋体" w:hAnsi="宋体" w:cs="宋体"/>
                <w:b/>
                <w:bCs/>
                <w:szCs w:val="21"/>
                <w:lang w:eastAsia="zh-CN"/>
              </w:rPr>
              <w:t>市</w:t>
            </w:r>
            <w:r>
              <w:rPr>
                <w:rFonts w:hint="eastAsia" w:ascii="宋体" w:hAnsi="宋体" w:eastAsia="宋体" w:cs="宋体"/>
                <w:b/>
                <w:bCs/>
                <w:szCs w:val="21"/>
              </w:rPr>
              <w:t>当年下达资金</w:t>
            </w:r>
          </w:p>
        </w:tc>
        <w:tc>
          <w:tcPr>
            <w:tcW w:w="331" w:type="pct"/>
            <w:vAlign w:val="center"/>
          </w:tcPr>
          <w:p>
            <w:pPr>
              <w:snapToGrid w:val="0"/>
              <w:jc w:val="center"/>
              <w:rPr>
                <w:rFonts w:hint="eastAsia" w:ascii="宋体" w:hAnsi="宋体" w:eastAsia="宋体" w:cs="宋体"/>
                <w:b/>
                <w:bCs/>
                <w:szCs w:val="21"/>
              </w:rPr>
            </w:pPr>
            <w:r>
              <w:rPr>
                <w:rFonts w:hint="eastAsia" w:ascii="宋体" w:hAnsi="宋体" w:eastAsia="宋体" w:cs="宋体"/>
                <w:b/>
                <w:bCs/>
                <w:szCs w:val="21"/>
              </w:rPr>
              <w:t>以前年度结余结转资金</w:t>
            </w:r>
          </w:p>
        </w:tc>
        <w:tc>
          <w:tcPr>
            <w:tcW w:w="206" w:type="pct"/>
            <w:vMerge w:val="continue"/>
            <w:vAlign w:val="center"/>
          </w:tcPr>
          <w:p>
            <w:pPr>
              <w:snapToGrid w:val="0"/>
              <w:jc w:val="center"/>
              <w:rPr>
                <w:rFonts w:hint="eastAsia" w:ascii="宋体" w:hAnsi="宋体" w:eastAsia="宋体" w:cs="宋体"/>
                <w:b/>
                <w:bCs/>
                <w:szCs w:val="21"/>
              </w:rPr>
            </w:pPr>
          </w:p>
        </w:tc>
        <w:tc>
          <w:tcPr>
            <w:tcW w:w="207" w:type="pct"/>
            <w:vMerge w:val="continue"/>
            <w:vAlign w:val="center"/>
          </w:tcPr>
          <w:p>
            <w:pPr>
              <w:snapToGrid w:val="0"/>
              <w:jc w:val="center"/>
              <w:rPr>
                <w:rFonts w:hint="eastAsia" w:ascii="宋体" w:hAnsi="宋体" w:eastAsia="宋体" w:cs="宋体"/>
                <w:b/>
                <w:bCs/>
                <w:szCs w:val="21"/>
              </w:rPr>
            </w:pPr>
          </w:p>
        </w:tc>
        <w:tc>
          <w:tcPr>
            <w:tcW w:w="207" w:type="pct"/>
            <w:vMerge w:val="continue"/>
            <w:vAlign w:val="center"/>
          </w:tcPr>
          <w:p>
            <w:pPr>
              <w:snapToGrid w:val="0"/>
              <w:jc w:val="center"/>
              <w:rPr>
                <w:rFonts w:hint="eastAsia" w:ascii="宋体" w:hAnsi="宋体" w:eastAsia="宋体" w:cs="宋体"/>
                <w:b/>
                <w:bCs/>
                <w:szCs w:val="21"/>
              </w:rPr>
            </w:pPr>
          </w:p>
        </w:tc>
        <w:tc>
          <w:tcPr>
            <w:tcW w:w="207" w:type="pct"/>
            <w:vMerge w:val="continue"/>
            <w:vAlign w:val="center"/>
          </w:tcPr>
          <w:p>
            <w:pPr>
              <w:snapToGrid w:val="0"/>
              <w:jc w:val="center"/>
              <w:rPr>
                <w:rFonts w:hint="eastAsia" w:ascii="宋体" w:hAnsi="宋体" w:eastAsia="宋体" w:cs="宋体"/>
                <w:b/>
                <w:bCs/>
                <w:szCs w:val="21"/>
              </w:rPr>
            </w:pPr>
          </w:p>
        </w:tc>
        <w:tc>
          <w:tcPr>
            <w:tcW w:w="210" w:type="pct"/>
            <w:vMerge w:val="continue"/>
            <w:vAlign w:val="center"/>
          </w:tcPr>
          <w:p>
            <w:pPr>
              <w:snapToGrid w:val="0"/>
              <w:jc w:val="center"/>
              <w:rPr>
                <w:rFonts w:hint="eastAsia" w:ascii="宋体" w:hAnsi="宋体" w:eastAsia="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 w:type="pct"/>
            <w:vAlign w:val="center"/>
          </w:tcPr>
          <w:p>
            <w:pPr>
              <w:snapToGrid w:val="0"/>
              <w:jc w:val="center"/>
              <w:rPr>
                <w:rFonts w:ascii="Times New Roman" w:hAnsi="Times New Roman" w:eastAsia="仿宋_GB2312" w:cs="Times New Roman"/>
                <w:b/>
                <w:bCs/>
                <w:szCs w:val="21"/>
              </w:rPr>
            </w:pPr>
          </w:p>
        </w:tc>
        <w:tc>
          <w:tcPr>
            <w:tcW w:w="269" w:type="pct"/>
            <w:vAlign w:val="center"/>
          </w:tcPr>
          <w:p>
            <w:pPr>
              <w:snapToGrid w:val="0"/>
              <w:jc w:val="center"/>
              <w:rPr>
                <w:rFonts w:ascii="Times New Roman" w:hAnsi="Times New Roman" w:eastAsia="仿宋_GB2312" w:cs="Times New Roman"/>
                <w:b/>
                <w:bCs/>
                <w:szCs w:val="21"/>
              </w:rPr>
            </w:pPr>
          </w:p>
        </w:tc>
        <w:tc>
          <w:tcPr>
            <w:tcW w:w="331"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08"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69" w:type="pct"/>
            <w:vAlign w:val="center"/>
          </w:tcPr>
          <w:p>
            <w:pPr>
              <w:snapToGrid w:val="0"/>
              <w:jc w:val="center"/>
              <w:rPr>
                <w:rFonts w:ascii="Times New Roman" w:hAnsi="Times New Roman" w:eastAsia="仿宋_GB2312" w:cs="Times New Roman"/>
                <w:b/>
                <w:bCs/>
                <w:szCs w:val="21"/>
              </w:rPr>
            </w:pPr>
          </w:p>
        </w:tc>
        <w:tc>
          <w:tcPr>
            <w:tcW w:w="331"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09"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69" w:type="pct"/>
            <w:vAlign w:val="center"/>
          </w:tcPr>
          <w:p>
            <w:pPr>
              <w:snapToGrid w:val="0"/>
              <w:jc w:val="center"/>
              <w:rPr>
                <w:rFonts w:ascii="Times New Roman" w:hAnsi="Times New Roman" w:eastAsia="仿宋_GB2312" w:cs="Times New Roman"/>
                <w:b/>
                <w:bCs/>
                <w:szCs w:val="21"/>
              </w:rPr>
            </w:pPr>
          </w:p>
        </w:tc>
        <w:tc>
          <w:tcPr>
            <w:tcW w:w="331" w:type="pct"/>
            <w:vAlign w:val="center"/>
          </w:tcPr>
          <w:p>
            <w:pPr>
              <w:snapToGrid w:val="0"/>
              <w:jc w:val="center"/>
              <w:rPr>
                <w:rFonts w:ascii="Times New Roman" w:hAnsi="Times New Roman" w:eastAsia="仿宋_GB2312" w:cs="Times New Roman"/>
                <w:b/>
                <w:bCs/>
                <w:szCs w:val="21"/>
              </w:rPr>
            </w:pPr>
          </w:p>
        </w:tc>
        <w:tc>
          <w:tcPr>
            <w:tcW w:w="206" w:type="pct"/>
            <w:vAlign w:val="center"/>
          </w:tcPr>
          <w:p>
            <w:pPr>
              <w:snapToGrid w:val="0"/>
              <w:jc w:val="center"/>
              <w:rPr>
                <w:rFonts w:ascii="Times New Roman" w:hAnsi="Times New Roman" w:eastAsia="仿宋_GB2312" w:cs="Times New Roman"/>
                <w:b/>
                <w:bCs/>
                <w:szCs w:val="21"/>
              </w:rPr>
            </w:pPr>
          </w:p>
        </w:tc>
        <w:tc>
          <w:tcPr>
            <w:tcW w:w="207" w:type="pct"/>
            <w:vAlign w:val="center"/>
          </w:tcPr>
          <w:p>
            <w:pPr>
              <w:snapToGrid w:val="0"/>
              <w:jc w:val="center"/>
              <w:rPr>
                <w:rFonts w:ascii="Times New Roman" w:hAnsi="Times New Roman" w:eastAsia="仿宋_GB2312" w:cs="Times New Roman"/>
                <w:b/>
                <w:bCs/>
                <w:szCs w:val="21"/>
              </w:rPr>
            </w:pPr>
          </w:p>
        </w:tc>
        <w:tc>
          <w:tcPr>
            <w:tcW w:w="207" w:type="pct"/>
            <w:vAlign w:val="center"/>
          </w:tcPr>
          <w:p>
            <w:pPr>
              <w:snapToGrid w:val="0"/>
              <w:jc w:val="center"/>
              <w:rPr>
                <w:rFonts w:ascii="Times New Roman" w:hAnsi="Times New Roman" w:eastAsia="仿宋_GB2312" w:cs="Times New Roman"/>
                <w:b/>
                <w:bCs/>
                <w:szCs w:val="21"/>
              </w:rPr>
            </w:pPr>
          </w:p>
        </w:tc>
        <w:tc>
          <w:tcPr>
            <w:tcW w:w="207" w:type="pct"/>
            <w:vAlign w:val="center"/>
          </w:tcPr>
          <w:p>
            <w:pPr>
              <w:snapToGrid w:val="0"/>
              <w:jc w:val="center"/>
              <w:rPr>
                <w:rFonts w:ascii="Times New Roman" w:hAnsi="Times New Roman" w:eastAsia="仿宋_GB2312" w:cs="Times New Roman"/>
                <w:b/>
                <w:bCs/>
                <w:szCs w:val="21"/>
              </w:rPr>
            </w:pPr>
          </w:p>
        </w:tc>
        <w:tc>
          <w:tcPr>
            <w:tcW w:w="210" w:type="pct"/>
            <w:vAlign w:val="center"/>
          </w:tcPr>
          <w:p>
            <w:pPr>
              <w:snapToGrid w:val="0"/>
              <w:jc w:val="center"/>
              <w:rPr>
                <w:rFonts w:ascii="Times New Roman" w:hAnsi="Times New Roman" w:eastAsia="仿宋_GB2312" w:cs="Times New Roman"/>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4" w:type="pct"/>
            <w:vAlign w:val="center"/>
          </w:tcPr>
          <w:p>
            <w:pPr>
              <w:snapToGrid w:val="0"/>
              <w:jc w:val="center"/>
              <w:rPr>
                <w:rFonts w:ascii="Times New Roman" w:hAnsi="Times New Roman" w:eastAsia="宋体" w:cs="Times New Roman"/>
                <w:sz w:val="18"/>
                <w:szCs w:val="18"/>
              </w:rPr>
            </w:pPr>
          </w:p>
        </w:tc>
        <w:tc>
          <w:tcPr>
            <w:tcW w:w="269" w:type="pct"/>
            <w:vAlign w:val="center"/>
          </w:tcPr>
          <w:p>
            <w:pPr>
              <w:snapToGrid w:val="0"/>
              <w:jc w:val="center"/>
              <w:rPr>
                <w:rFonts w:ascii="Times New Roman" w:hAnsi="Times New Roman" w:eastAsia="宋体" w:cs="Times New Roman"/>
                <w:sz w:val="18"/>
                <w:szCs w:val="18"/>
              </w:rPr>
            </w:pPr>
          </w:p>
        </w:tc>
        <w:tc>
          <w:tcPr>
            <w:tcW w:w="331"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08"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69" w:type="pct"/>
            <w:vAlign w:val="center"/>
          </w:tcPr>
          <w:p>
            <w:pPr>
              <w:snapToGrid w:val="0"/>
              <w:jc w:val="center"/>
              <w:rPr>
                <w:rFonts w:ascii="Times New Roman" w:hAnsi="Times New Roman" w:eastAsia="宋体" w:cs="Times New Roman"/>
                <w:sz w:val="18"/>
                <w:szCs w:val="18"/>
              </w:rPr>
            </w:pPr>
          </w:p>
        </w:tc>
        <w:tc>
          <w:tcPr>
            <w:tcW w:w="331"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09"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69" w:type="pct"/>
            <w:vAlign w:val="center"/>
          </w:tcPr>
          <w:p>
            <w:pPr>
              <w:snapToGrid w:val="0"/>
              <w:jc w:val="center"/>
              <w:rPr>
                <w:rFonts w:ascii="Times New Roman" w:hAnsi="Times New Roman" w:eastAsia="宋体" w:cs="Times New Roman"/>
                <w:sz w:val="18"/>
                <w:szCs w:val="18"/>
              </w:rPr>
            </w:pPr>
          </w:p>
        </w:tc>
        <w:tc>
          <w:tcPr>
            <w:tcW w:w="331" w:type="pct"/>
            <w:vAlign w:val="center"/>
          </w:tcPr>
          <w:p>
            <w:pPr>
              <w:snapToGrid w:val="0"/>
              <w:jc w:val="center"/>
              <w:rPr>
                <w:rFonts w:ascii="Times New Roman" w:hAnsi="Times New Roman" w:eastAsia="宋体" w:cs="Times New Roman"/>
                <w:sz w:val="18"/>
                <w:szCs w:val="18"/>
              </w:rPr>
            </w:pPr>
          </w:p>
        </w:tc>
        <w:tc>
          <w:tcPr>
            <w:tcW w:w="206" w:type="pct"/>
            <w:vAlign w:val="center"/>
          </w:tcPr>
          <w:p>
            <w:pPr>
              <w:snapToGrid w:val="0"/>
              <w:jc w:val="center"/>
              <w:rPr>
                <w:rFonts w:ascii="Times New Roman" w:hAnsi="Times New Roman" w:eastAsia="宋体" w:cs="Times New Roman"/>
                <w:sz w:val="18"/>
                <w:szCs w:val="18"/>
              </w:rPr>
            </w:pPr>
          </w:p>
        </w:tc>
        <w:tc>
          <w:tcPr>
            <w:tcW w:w="207" w:type="pct"/>
            <w:vAlign w:val="center"/>
          </w:tcPr>
          <w:p>
            <w:pPr>
              <w:snapToGrid w:val="0"/>
              <w:jc w:val="center"/>
              <w:rPr>
                <w:rFonts w:ascii="Times New Roman" w:hAnsi="Times New Roman" w:eastAsia="宋体" w:cs="Times New Roman"/>
                <w:sz w:val="18"/>
                <w:szCs w:val="18"/>
              </w:rPr>
            </w:pPr>
          </w:p>
        </w:tc>
        <w:tc>
          <w:tcPr>
            <w:tcW w:w="207" w:type="pct"/>
            <w:vAlign w:val="center"/>
          </w:tcPr>
          <w:p>
            <w:pPr>
              <w:snapToGrid w:val="0"/>
              <w:jc w:val="center"/>
              <w:rPr>
                <w:rFonts w:ascii="Times New Roman" w:hAnsi="Times New Roman" w:eastAsia="宋体" w:cs="Times New Roman"/>
                <w:sz w:val="18"/>
                <w:szCs w:val="18"/>
              </w:rPr>
            </w:pPr>
          </w:p>
        </w:tc>
        <w:tc>
          <w:tcPr>
            <w:tcW w:w="207" w:type="pct"/>
            <w:vAlign w:val="center"/>
          </w:tcPr>
          <w:p>
            <w:pPr>
              <w:snapToGrid w:val="0"/>
              <w:jc w:val="center"/>
              <w:rPr>
                <w:rFonts w:ascii="Times New Roman" w:hAnsi="Times New Roman" w:eastAsia="宋体" w:cs="Times New Roman"/>
                <w:sz w:val="18"/>
                <w:szCs w:val="18"/>
              </w:rPr>
            </w:pPr>
          </w:p>
        </w:tc>
        <w:tc>
          <w:tcPr>
            <w:tcW w:w="210" w:type="pct"/>
            <w:vAlign w:val="center"/>
          </w:tcPr>
          <w:p>
            <w:pPr>
              <w:snapToGrid w:val="0"/>
              <w:jc w:val="center"/>
              <w:rPr>
                <w:rFonts w:ascii="Times New Roman" w:hAnsi="Times New Roman" w:eastAsia="宋体" w:cs="Times New Roman"/>
                <w:sz w:val="18"/>
                <w:szCs w:val="18"/>
              </w:rPr>
            </w:pPr>
          </w:p>
        </w:tc>
      </w:tr>
    </w:tbl>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填表人：</w:t>
      </w:r>
      <w:r>
        <w:rPr>
          <w:rFonts w:hint="eastAsia" w:asciiTheme="minorEastAsia" w:hAnsiTheme="minorEastAsia" w:eastAsiaTheme="minorEastAsia" w:cstheme="minorEastAsia"/>
          <w:sz w:val="24"/>
          <w:szCs w:val="24"/>
          <w:lang w:val="en-US" w:eastAsia="zh-CN"/>
        </w:rPr>
        <w:t xml:space="preserve">                       联系电话：                         填报日期：</w:t>
      </w:r>
    </w:p>
    <w:p>
      <w:pPr>
        <w:jc w:val="left"/>
        <w:rPr>
          <w:rFonts w:ascii="Times New Roman" w:hAnsi="Times New Roman" w:cs="Times New Roman"/>
        </w:rPr>
        <w:sectPr>
          <w:pgSz w:w="16838" w:h="11906" w:orient="landscape"/>
          <w:pgMar w:top="1417" w:right="1701" w:bottom="1417" w:left="1701" w:header="851" w:footer="992" w:gutter="0"/>
          <w:cols w:space="0" w:num="1"/>
          <w:docGrid w:type="lines" w:linePitch="312" w:charSpace="0"/>
        </w:sectPr>
      </w:pPr>
      <w:r>
        <w:rPr>
          <w:rFonts w:hint="eastAsia" w:asciiTheme="minorEastAsia" w:hAnsiTheme="minorEastAsia" w:eastAsiaTheme="minorEastAsia" w:cstheme="minorEastAsia"/>
          <w:sz w:val="24"/>
          <w:szCs w:val="24"/>
        </w:rPr>
        <w:t>注：1.兑付比率=实发资金/应发资金；2.补贴标准=应发资金/核实面积。</w:t>
      </w:r>
      <w:r>
        <w:rPr>
          <w:rFonts w:hint="eastAsia" w:ascii="仿宋" w:hAnsi="仿宋" w:eastAsia="仿宋" w:cs="仿宋"/>
          <w:sz w:val="24"/>
          <w:szCs w:val="24"/>
        </w:rPr>
        <w:tab/>
      </w:r>
      <w:r>
        <w:rPr>
          <w:rFonts w:ascii="Times New Roman" w:hAnsi="Times New Roman" w:eastAsia="仿宋_GB2312" w:cs="Times New Roman"/>
          <w:sz w:val="24"/>
          <w:szCs w:val="24"/>
        </w:rPr>
        <w:tab/>
      </w:r>
      <w:r>
        <w:rPr>
          <w:rFonts w:ascii="Times New Roman" w:hAnsi="Times New Roman" w:eastAsia="宋体" w:cs="Times New Roman"/>
        </w:rPr>
        <w:tab/>
      </w:r>
      <w:r>
        <w:rPr>
          <w:rFonts w:ascii="Times New Roman" w:hAnsi="Times New Roman" w:eastAsia="宋体" w:cs="Times New Roman"/>
        </w:rPr>
        <w:tab/>
      </w:r>
      <w:r>
        <w:rPr>
          <w:rFonts w:ascii="Times New Roman" w:hAnsi="Times New Roman" w:eastAsia="宋体" w:cs="Times New Roman"/>
        </w:rPr>
        <w:tab/>
      </w:r>
      <w:r>
        <w:rPr>
          <w:rFonts w:ascii="Times New Roman" w:hAnsi="Times New Roman" w:eastAsia="宋体" w:cs="Times New Roman"/>
        </w:rPr>
        <w:tab/>
      </w:r>
    </w:p>
    <w:p>
      <w:pPr>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3</w:t>
      </w:r>
    </w:p>
    <w:p>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2026年稻谷生产者补贴发放进度调度表</w:t>
      </w:r>
    </w:p>
    <w:p>
      <w:pPr>
        <w:ind w:firstLine="462" w:firstLineChars="200"/>
        <w:rPr>
          <w:rFonts w:ascii="Times New Roman" w:hAnsi="Times New Roman" w:eastAsia="宋体" w:cs="Times New Roman"/>
        </w:rPr>
      </w:pPr>
    </w:p>
    <w:p>
      <w:pPr>
        <w:rPr>
          <w:rFonts w:ascii="Times New Roman" w:hAnsi="Times New Roman" w:eastAsia="仿宋_GB2312" w:cs="Times New Roman"/>
          <w:sz w:val="24"/>
          <w:szCs w:val="24"/>
        </w:rPr>
      </w:pPr>
      <w:r>
        <w:rPr>
          <w:rFonts w:hint="eastAsia" w:asciiTheme="minorEastAsia" w:hAnsiTheme="minorEastAsia" w:eastAsiaTheme="minorEastAsia" w:cstheme="minorEastAsia"/>
          <w:sz w:val="24"/>
          <w:szCs w:val="24"/>
        </w:rPr>
        <w:t>农业农村部门（盖章）：                   财政部门（盖章）：              单位：万元、万亩、元/亩、万户</w:t>
      </w:r>
      <w:r>
        <w:rPr>
          <w:rFonts w:ascii="Times New Roman" w:hAnsi="Times New Roman" w:eastAsia="仿宋_GB2312" w:cs="Times New Roman"/>
          <w:sz w:val="24"/>
          <w:szCs w:val="24"/>
        </w:rPr>
        <w:tab/>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3"/>
        <w:gridCol w:w="1406"/>
        <w:gridCol w:w="2102"/>
        <w:gridCol w:w="2310"/>
        <w:gridCol w:w="1332"/>
        <w:gridCol w:w="1335"/>
        <w:gridCol w:w="1316"/>
        <w:gridCol w:w="1272"/>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470"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lang w:eastAsia="zh-CN"/>
              </w:rPr>
              <w:t>县</w:t>
            </w:r>
            <w:r>
              <w:rPr>
                <w:rFonts w:hint="eastAsia" w:ascii="宋体" w:hAnsi="宋体" w:eastAsia="宋体" w:cs="宋体"/>
                <w:b/>
                <w:bCs/>
                <w:sz w:val="24"/>
                <w:szCs w:val="24"/>
              </w:rPr>
              <w:t>（区）</w:t>
            </w:r>
          </w:p>
        </w:tc>
        <w:tc>
          <w:tcPr>
            <w:tcW w:w="4529" w:type="pct"/>
            <w:gridSpan w:val="8"/>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稻谷生产者补贴资金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470" w:type="pct"/>
            <w:vMerge w:val="continue"/>
            <w:vAlign w:val="center"/>
          </w:tcPr>
          <w:p>
            <w:pPr>
              <w:snapToGrid w:val="0"/>
              <w:jc w:val="center"/>
              <w:rPr>
                <w:rFonts w:hint="eastAsia" w:ascii="宋体" w:hAnsi="宋体" w:eastAsia="宋体" w:cs="宋体"/>
                <w:b/>
                <w:bCs/>
                <w:sz w:val="24"/>
                <w:szCs w:val="24"/>
              </w:rPr>
            </w:pPr>
          </w:p>
        </w:tc>
        <w:tc>
          <w:tcPr>
            <w:tcW w:w="515"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核实面积</w:t>
            </w:r>
          </w:p>
        </w:tc>
        <w:tc>
          <w:tcPr>
            <w:tcW w:w="1616" w:type="pct"/>
            <w:gridSpan w:val="2"/>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应发资金</w:t>
            </w:r>
          </w:p>
        </w:tc>
        <w:tc>
          <w:tcPr>
            <w:tcW w:w="488"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实发资金</w:t>
            </w:r>
          </w:p>
        </w:tc>
        <w:tc>
          <w:tcPr>
            <w:tcW w:w="489"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兑付比率</w:t>
            </w:r>
          </w:p>
        </w:tc>
        <w:tc>
          <w:tcPr>
            <w:tcW w:w="482"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补贴标准</w:t>
            </w:r>
          </w:p>
        </w:tc>
        <w:tc>
          <w:tcPr>
            <w:tcW w:w="466"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实发面积</w:t>
            </w:r>
          </w:p>
        </w:tc>
        <w:tc>
          <w:tcPr>
            <w:tcW w:w="472" w:type="pct"/>
            <w:vMerge w:val="restar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补贴户数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470" w:type="pct"/>
            <w:vMerge w:val="continue"/>
            <w:vAlign w:val="center"/>
          </w:tcPr>
          <w:p>
            <w:pPr>
              <w:snapToGrid w:val="0"/>
              <w:jc w:val="center"/>
              <w:rPr>
                <w:rFonts w:hint="eastAsia" w:ascii="宋体" w:hAnsi="宋体" w:eastAsia="宋体" w:cs="宋体"/>
                <w:b/>
                <w:bCs/>
                <w:sz w:val="24"/>
                <w:szCs w:val="24"/>
              </w:rPr>
            </w:pPr>
          </w:p>
        </w:tc>
        <w:tc>
          <w:tcPr>
            <w:tcW w:w="515" w:type="pct"/>
            <w:vMerge w:val="continue"/>
            <w:vAlign w:val="center"/>
          </w:tcPr>
          <w:p>
            <w:pPr>
              <w:snapToGrid w:val="0"/>
              <w:jc w:val="center"/>
              <w:rPr>
                <w:rFonts w:hint="eastAsia" w:ascii="宋体" w:hAnsi="宋体" w:eastAsia="宋体" w:cs="宋体"/>
                <w:b/>
                <w:bCs/>
                <w:sz w:val="24"/>
                <w:szCs w:val="24"/>
              </w:rPr>
            </w:pPr>
          </w:p>
        </w:tc>
        <w:tc>
          <w:tcPr>
            <w:tcW w:w="770" w:type="pct"/>
            <w:vAlign w:val="center"/>
          </w:tcPr>
          <w:p>
            <w:pPr>
              <w:snapToGrid w:val="0"/>
              <w:jc w:val="center"/>
              <w:rPr>
                <w:rFonts w:hint="eastAsia" w:ascii="宋体" w:hAnsi="宋体" w:eastAsia="宋体" w:cs="宋体"/>
                <w:b/>
                <w:bCs/>
                <w:sz w:val="24"/>
                <w:szCs w:val="24"/>
              </w:rPr>
            </w:pPr>
            <w:r>
              <w:rPr>
                <w:rFonts w:hint="eastAsia" w:ascii="宋体" w:hAnsi="宋体" w:cs="宋体"/>
                <w:b/>
                <w:bCs/>
                <w:sz w:val="24"/>
                <w:szCs w:val="24"/>
                <w:lang w:eastAsia="zh-CN"/>
              </w:rPr>
              <w:t>市</w:t>
            </w:r>
            <w:r>
              <w:rPr>
                <w:rFonts w:hint="eastAsia" w:ascii="宋体" w:hAnsi="宋体" w:eastAsia="宋体" w:cs="宋体"/>
                <w:b/>
                <w:bCs/>
                <w:sz w:val="24"/>
                <w:szCs w:val="24"/>
              </w:rPr>
              <w:t>当年下达资金</w:t>
            </w:r>
          </w:p>
        </w:tc>
        <w:tc>
          <w:tcPr>
            <w:tcW w:w="846" w:type="pct"/>
            <w:vAlign w:val="center"/>
          </w:tcPr>
          <w:p>
            <w:pPr>
              <w:snapToGrid w:val="0"/>
              <w:jc w:val="center"/>
              <w:rPr>
                <w:rFonts w:hint="eastAsia" w:ascii="宋体" w:hAnsi="宋体" w:eastAsia="宋体" w:cs="宋体"/>
                <w:b/>
                <w:bCs/>
                <w:sz w:val="24"/>
                <w:szCs w:val="24"/>
              </w:rPr>
            </w:pPr>
            <w:r>
              <w:rPr>
                <w:rFonts w:hint="eastAsia" w:ascii="宋体" w:hAnsi="宋体" w:eastAsia="宋体" w:cs="宋体"/>
                <w:b/>
                <w:bCs/>
                <w:sz w:val="24"/>
                <w:szCs w:val="24"/>
              </w:rPr>
              <w:t>以前年度结余结转资金</w:t>
            </w:r>
          </w:p>
        </w:tc>
        <w:tc>
          <w:tcPr>
            <w:tcW w:w="488" w:type="pct"/>
            <w:vMerge w:val="continue"/>
            <w:vAlign w:val="center"/>
          </w:tcPr>
          <w:p>
            <w:pPr>
              <w:snapToGrid w:val="0"/>
              <w:jc w:val="center"/>
              <w:rPr>
                <w:rFonts w:hint="eastAsia" w:ascii="宋体" w:hAnsi="宋体" w:eastAsia="宋体" w:cs="宋体"/>
                <w:b/>
                <w:bCs/>
                <w:sz w:val="24"/>
                <w:szCs w:val="24"/>
              </w:rPr>
            </w:pPr>
          </w:p>
        </w:tc>
        <w:tc>
          <w:tcPr>
            <w:tcW w:w="489" w:type="pct"/>
            <w:vMerge w:val="continue"/>
            <w:vAlign w:val="center"/>
          </w:tcPr>
          <w:p>
            <w:pPr>
              <w:snapToGrid w:val="0"/>
              <w:jc w:val="center"/>
              <w:rPr>
                <w:rFonts w:hint="eastAsia" w:ascii="宋体" w:hAnsi="宋体" w:eastAsia="宋体" w:cs="宋体"/>
                <w:b/>
                <w:bCs/>
                <w:sz w:val="24"/>
                <w:szCs w:val="24"/>
              </w:rPr>
            </w:pPr>
          </w:p>
        </w:tc>
        <w:tc>
          <w:tcPr>
            <w:tcW w:w="482" w:type="pct"/>
            <w:vMerge w:val="continue"/>
            <w:vAlign w:val="center"/>
          </w:tcPr>
          <w:p>
            <w:pPr>
              <w:snapToGrid w:val="0"/>
              <w:jc w:val="center"/>
              <w:rPr>
                <w:rFonts w:hint="eastAsia" w:ascii="宋体" w:hAnsi="宋体" w:eastAsia="宋体" w:cs="宋体"/>
                <w:b/>
                <w:bCs/>
                <w:sz w:val="24"/>
                <w:szCs w:val="24"/>
              </w:rPr>
            </w:pPr>
          </w:p>
        </w:tc>
        <w:tc>
          <w:tcPr>
            <w:tcW w:w="466" w:type="pct"/>
            <w:vMerge w:val="continue"/>
            <w:vAlign w:val="center"/>
          </w:tcPr>
          <w:p>
            <w:pPr>
              <w:snapToGrid w:val="0"/>
              <w:jc w:val="center"/>
              <w:rPr>
                <w:rFonts w:hint="eastAsia" w:ascii="宋体" w:hAnsi="宋体" w:eastAsia="宋体" w:cs="宋体"/>
                <w:b/>
                <w:bCs/>
                <w:sz w:val="24"/>
                <w:szCs w:val="24"/>
              </w:rPr>
            </w:pPr>
          </w:p>
        </w:tc>
        <w:tc>
          <w:tcPr>
            <w:tcW w:w="472" w:type="pct"/>
            <w:vMerge w:val="continue"/>
            <w:vAlign w:val="center"/>
          </w:tcPr>
          <w:p>
            <w:pPr>
              <w:snapToGrid w:val="0"/>
              <w:jc w:val="center"/>
              <w:rPr>
                <w:rFonts w:hint="eastAsia" w:ascii="宋体" w:hAnsi="宋体" w:eastAsia="宋体" w:cs="宋体"/>
                <w:b/>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Align w:val="center"/>
          </w:tcPr>
          <w:p>
            <w:pPr>
              <w:snapToGrid w:val="0"/>
              <w:jc w:val="center"/>
              <w:rPr>
                <w:rFonts w:ascii="Times New Roman" w:hAnsi="Times New Roman" w:eastAsia="仿宋_GB2312" w:cs="Times New Roman"/>
                <w:b/>
                <w:bCs/>
                <w:szCs w:val="21"/>
              </w:rPr>
            </w:pPr>
          </w:p>
        </w:tc>
        <w:tc>
          <w:tcPr>
            <w:tcW w:w="515" w:type="pct"/>
            <w:vAlign w:val="center"/>
          </w:tcPr>
          <w:p>
            <w:pPr>
              <w:snapToGrid w:val="0"/>
              <w:jc w:val="center"/>
              <w:rPr>
                <w:rFonts w:ascii="Times New Roman" w:hAnsi="Times New Roman" w:eastAsia="仿宋_GB2312" w:cs="Times New Roman"/>
                <w:b/>
                <w:bCs/>
                <w:szCs w:val="21"/>
              </w:rPr>
            </w:pPr>
          </w:p>
        </w:tc>
        <w:tc>
          <w:tcPr>
            <w:tcW w:w="770" w:type="pct"/>
            <w:vAlign w:val="center"/>
          </w:tcPr>
          <w:p>
            <w:pPr>
              <w:snapToGrid w:val="0"/>
              <w:jc w:val="center"/>
              <w:rPr>
                <w:rFonts w:ascii="Times New Roman" w:hAnsi="Times New Roman" w:eastAsia="仿宋_GB2312" w:cs="Times New Roman"/>
                <w:b/>
                <w:bCs/>
                <w:szCs w:val="21"/>
              </w:rPr>
            </w:pPr>
          </w:p>
        </w:tc>
        <w:tc>
          <w:tcPr>
            <w:tcW w:w="846" w:type="pct"/>
            <w:vAlign w:val="center"/>
          </w:tcPr>
          <w:p>
            <w:pPr>
              <w:snapToGrid w:val="0"/>
              <w:jc w:val="center"/>
              <w:rPr>
                <w:rFonts w:ascii="Times New Roman" w:hAnsi="Times New Roman" w:eastAsia="仿宋_GB2312" w:cs="Times New Roman"/>
                <w:b/>
                <w:bCs/>
                <w:szCs w:val="21"/>
              </w:rPr>
            </w:pPr>
          </w:p>
        </w:tc>
        <w:tc>
          <w:tcPr>
            <w:tcW w:w="488" w:type="pct"/>
            <w:vAlign w:val="center"/>
          </w:tcPr>
          <w:p>
            <w:pPr>
              <w:snapToGrid w:val="0"/>
              <w:jc w:val="center"/>
              <w:rPr>
                <w:rFonts w:ascii="Times New Roman" w:hAnsi="Times New Roman" w:eastAsia="仿宋_GB2312" w:cs="Times New Roman"/>
                <w:b/>
                <w:bCs/>
                <w:szCs w:val="21"/>
              </w:rPr>
            </w:pPr>
          </w:p>
        </w:tc>
        <w:tc>
          <w:tcPr>
            <w:tcW w:w="489" w:type="pct"/>
            <w:vAlign w:val="center"/>
          </w:tcPr>
          <w:p>
            <w:pPr>
              <w:snapToGrid w:val="0"/>
              <w:jc w:val="center"/>
              <w:rPr>
                <w:rFonts w:ascii="Times New Roman" w:hAnsi="Times New Roman" w:eastAsia="仿宋_GB2312" w:cs="Times New Roman"/>
                <w:b/>
                <w:bCs/>
                <w:szCs w:val="21"/>
              </w:rPr>
            </w:pPr>
          </w:p>
        </w:tc>
        <w:tc>
          <w:tcPr>
            <w:tcW w:w="482" w:type="pct"/>
            <w:vAlign w:val="center"/>
          </w:tcPr>
          <w:p>
            <w:pPr>
              <w:snapToGrid w:val="0"/>
              <w:jc w:val="center"/>
              <w:rPr>
                <w:rFonts w:ascii="Times New Roman" w:hAnsi="Times New Roman" w:eastAsia="仿宋_GB2312" w:cs="Times New Roman"/>
                <w:b/>
                <w:bCs/>
                <w:szCs w:val="21"/>
              </w:rPr>
            </w:pPr>
          </w:p>
        </w:tc>
        <w:tc>
          <w:tcPr>
            <w:tcW w:w="466" w:type="pct"/>
            <w:vAlign w:val="center"/>
          </w:tcPr>
          <w:p>
            <w:pPr>
              <w:snapToGrid w:val="0"/>
              <w:jc w:val="center"/>
              <w:rPr>
                <w:rFonts w:ascii="Times New Roman" w:hAnsi="Times New Roman" w:eastAsia="仿宋_GB2312" w:cs="Times New Roman"/>
                <w:b/>
                <w:bCs/>
                <w:szCs w:val="21"/>
              </w:rPr>
            </w:pPr>
          </w:p>
        </w:tc>
        <w:tc>
          <w:tcPr>
            <w:tcW w:w="472" w:type="pct"/>
            <w:vAlign w:val="center"/>
          </w:tcPr>
          <w:p>
            <w:pPr>
              <w:snapToGrid w:val="0"/>
              <w:jc w:val="center"/>
              <w:rPr>
                <w:rFonts w:ascii="Times New Roman" w:hAnsi="Times New Roman" w:eastAsia="仿宋_GB2312" w:cs="Times New Roman"/>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0" w:type="pct"/>
            <w:vAlign w:val="center"/>
          </w:tcPr>
          <w:p>
            <w:pPr>
              <w:snapToGrid w:val="0"/>
              <w:jc w:val="center"/>
              <w:rPr>
                <w:rFonts w:ascii="Times New Roman" w:hAnsi="Times New Roman" w:eastAsia="宋体" w:cs="Times New Roman"/>
                <w:sz w:val="18"/>
                <w:szCs w:val="18"/>
              </w:rPr>
            </w:pPr>
          </w:p>
        </w:tc>
        <w:tc>
          <w:tcPr>
            <w:tcW w:w="515" w:type="pct"/>
            <w:vAlign w:val="center"/>
          </w:tcPr>
          <w:p>
            <w:pPr>
              <w:snapToGrid w:val="0"/>
              <w:jc w:val="center"/>
              <w:rPr>
                <w:rFonts w:ascii="Times New Roman" w:hAnsi="Times New Roman" w:eastAsia="宋体" w:cs="Times New Roman"/>
                <w:sz w:val="18"/>
                <w:szCs w:val="18"/>
              </w:rPr>
            </w:pPr>
          </w:p>
        </w:tc>
        <w:tc>
          <w:tcPr>
            <w:tcW w:w="770" w:type="pct"/>
            <w:vAlign w:val="center"/>
          </w:tcPr>
          <w:p>
            <w:pPr>
              <w:snapToGrid w:val="0"/>
              <w:jc w:val="center"/>
              <w:rPr>
                <w:rFonts w:ascii="Times New Roman" w:hAnsi="Times New Roman" w:eastAsia="宋体" w:cs="Times New Roman"/>
                <w:sz w:val="18"/>
                <w:szCs w:val="18"/>
              </w:rPr>
            </w:pPr>
          </w:p>
        </w:tc>
        <w:tc>
          <w:tcPr>
            <w:tcW w:w="846" w:type="pct"/>
            <w:vAlign w:val="center"/>
          </w:tcPr>
          <w:p>
            <w:pPr>
              <w:snapToGrid w:val="0"/>
              <w:jc w:val="center"/>
              <w:rPr>
                <w:rFonts w:ascii="Times New Roman" w:hAnsi="Times New Roman" w:eastAsia="宋体" w:cs="Times New Roman"/>
                <w:sz w:val="18"/>
                <w:szCs w:val="18"/>
              </w:rPr>
            </w:pPr>
          </w:p>
        </w:tc>
        <w:tc>
          <w:tcPr>
            <w:tcW w:w="488" w:type="pct"/>
            <w:vAlign w:val="center"/>
          </w:tcPr>
          <w:p>
            <w:pPr>
              <w:snapToGrid w:val="0"/>
              <w:jc w:val="center"/>
              <w:rPr>
                <w:rFonts w:ascii="Times New Roman" w:hAnsi="Times New Roman" w:eastAsia="宋体" w:cs="Times New Roman"/>
                <w:sz w:val="18"/>
                <w:szCs w:val="18"/>
              </w:rPr>
            </w:pPr>
          </w:p>
        </w:tc>
        <w:tc>
          <w:tcPr>
            <w:tcW w:w="489" w:type="pct"/>
            <w:vAlign w:val="center"/>
          </w:tcPr>
          <w:p>
            <w:pPr>
              <w:snapToGrid w:val="0"/>
              <w:jc w:val="center"/>
              <w:rPr>
                <w:rFonts w:ascii="Times New Roman" w:hAnsi="Times New Roman" w:eastAsia="宋体" w:cs="Times New Roman"/>
                <w:sz w:val="18"/>
                <w:szCs w:val="18"/>
              </w:rPr>
            </w:pPr>
          </w:p>
        </w:tc>
        <w:tc>
          <w:tcPr>
            <w:tcW w:w="482" w:type="pct"/>
            <w:vAlign w:val="center"/>
          </w:tcPr>
          <w:p>
            <w:pPr>
              <w:snapToGrid w:val="0"/>
              <w:jc w:val="center"/>
              <w:rPr>
                <w:rFonts w:ascii="Times New Roman" w:hAnsi="Times New Roman" w:eastAsia="宋体" w:cs="Times New Roman"/>
                <w:sz w:val="18"/>
                <w:szCs w:val="18"/>
              </w:rPr>
            </w:pPr>
          </w:p>
        </w:tc>
        <w:tc>
          <w:tcPr>
            <w:tcW w:w="466" w:type="pct"/>
            <w:vAlign w:val="center"/>
          </w:tcPr>
          <w:p>
            <w:pPr>
              <w:snapToGrid w:val="0"/>
              <w:jc w:val="center"/>
              <w:rPr>
                <w:rFonts w:ascii="Times New Roman" w:hAnsi="Times New Roman" w:eastAsia="宋体" w:cs="Times New Roman"/>
                <w:sz w:val="18"/>
                <w:szCs w:val="18"/>
              </w:rPr>
            </w:pPr>
          </w:p>
        </w:tc>
        <w:tc>
          <w:tcPr>
            <w:tcW w:w="472" w:type="pct"/>
            <w:vAlign w:val="center"/>
          </w:tcPr>
          <w:p>
            <w:pPr>
              <w:snapToGrid w:val="0"/>
              <w:jc w:val="center"/>
              <w:rPr>
                <w:rFonts w:ascii="Times New Roman" w:hAnsi="Times New Roman" w:eastAsia="宋体" w:cs="Times New Roman"/>
                <w:sz w:val="18"/>
                <w:szCs w:val="18"/>
              </w:rPr>
            </w:pPr>
          </w:p>
        </w:tc>
      </w:tr>
    </w:tbl>
    <w:p>
      <w:pPr>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填表人：</w:t>
      </w:r>
      <w:r>
        <w:rPr>
          <w:rFonts w:hint="eastAsia" w:asciiTheme="minorEastAsia" w:hAnsiTheme="minorEastAsia" w:eastAsiaTheme="minorEastAsia" w:cstheme="minorEastAsia"/>
          <w:sz w:val="24"/>
          <w:szCs w:val="24"/>
          <w:lang w:val="en-US" w:eastAsia="zh-CN"/>
        </w:rPr>
        <w:t xml:space="preserve">                       联系电话：                         填报日期：</w:t>
      </w:r>
    </w:p>
    <w:p>
      <w:pPr>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eastAsiaTheme="minorEastAsia" w:cstheme="minorEastAsia"/>
          <w:sz w:val="24"/>
          <w:szCs w:val="24"/>
        </w:rPr>
        <w:t>注：1.兑付比率=实发资金/应发资金；2.补贴标准=应发资金/核实面积。</w:t>
      </w:r>
      <w:r>
        <w:rPr>
          <w:rFonts w:hint="eastAsia" w:asciiTheme="minorEastAsia" w:hAnsiTheme="minorEastAsia" w:eastAsiaTheme="minorEastAsia" w:cstheme="minorEastAsia"/>
          <w:sz w:val="24"/>
          <w:szCs w:val="24"/>
        </w:rPr>
        <w:tab/>
      </w:r>
    </w:p>
    <w:p>
      <w:pPr>
        <w:rPr>
          <w:rFonts w:hint="eastAsia" w:asciiTheme="minorEastAsia" w:hAnsiTheme="minorEastAsia" w:eastAsiaTheme="minorEastAsia" w:cstheme="minorEastAsia"/>
          <w:color w:val="000000"/>
          <w:kern w:val="0"/>
          <w:sz w:val="32"/>
          <w:szCs w:val="32"/>
          <w:lang w:val="en-US" w:eastAsia="zh-CN"/>
        </w:rPr>
        <w:sectPr>
          <w:pgSz w:w="16838" w:h="11850" w:orient="landscape"/>
          <w:pgMar w:top="1417" w:right="1701" w:bottom="1417" w:left="1701" w:header="851" w:footer="1417" w:gutter="0"/>
          <w:pgNumType w:fmt="decimal"/>
          <w:cols w:space="0" w:num="1"/>
          <w:rtlGutter w:val="0"/>
          <w:docGrid w:type="linesAndChars" w:linePitch="312" w:charSpace="4360"/>
        </w:sectPr>
      </w:pPr>
    </w:p>
    <w:p>
      <w:pPr>
        <w:spacing w:line="560" w:lineRule="exac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目标价格补贴(玉米和大豆)绩效自评表</w:t>
      </w:r>
    </w:p>
    <w:p>
      <w:pPr>
        <w:spacing w:line="560" w:lineRule="exact"/>
        <w:jc w:val="center"/>
        <w:rPr>
          <w:rFonts w:hint="eastAsia" w:ascii="楷体_GB2312" w:hAnsi="楷体_GB2312" w:eastAsia="楷体_GB2312" w:cs="楷体_GB2312"/>
          <w:b w:val="0"/>
          <w:bCs w:val="0"/>
          <w:sz w:val="28"/>
          <w:szCs w:val="28"/>
        </w:rPr>
      </w:pPr>
      <w:r>
        <w:rPr>
          <w:rFonts w:hint="eastAsia" w:ascii="楷体_GB2312" w:hAnsi="楷体_GB2312" w:eastAsia="楷体_GB2312" w:cs="楷体_GB2312"/>
          <w:b w:val="0"/>
          <w:bCs w:val="0"/>
          <w:sz w:val="28"/>
          <w:szCs w:val="28"/>
        </w:rPr>
        <w:t>（2026年度）</w:t>
      </w:r>
    </w:p>
    <w:tbl>
      <w:tblPr>
        <w:tblStyle w:val="4"/>
        <w:tblW w:w="9288" w:type="dxa"/>
        <w:jc w:val="center"/>
        <w:tblLayout w:type="autofit"/>
        <w:tblCellMar>
          <w:top w:w="0" w:type="dxa"/>
          <w:left w:w="108" w:type="dxa"/>
          <w:bottom w:w="0" w:type="dxa"/>
          <w:right w:w="108" w:type="dxa"/>
        </w:tblCellMar>
      </w:tblPr>
      <w:tblGrid>
        <w:gridCol w:w="678"/>
        <w:gridCol w:w="915"/>
        <w:gridCol w:w="1318"/>
        <w:gridCol w:w="1622"/>
        <w:gridCol w:w="1245"/>
        <w:gridCol w:w="1515"/>
        <w:gridCol w:w="900"/>
        <w:gridCol w:w="1095"/>
      </w:tblGrid>
      <w:tr>
        <w:tblPrEx>
          <w:tblCellMar>
            <w:top w:w="0" w:type="dxa"/>
            <w:left w:w="108" w:type="dxa"/>
            <w:bottom w:w="0" w:type="dxa"/>
            <w:right w:w="108" w:type="dxa"/>
          </w:tblCellMar>
        </w:tblPrEx>
        <w:trPr>
          <w:cantSplit/>
          <w:trHeight w:val="317" w:hRule="atLeast"/>
          <w:tblHeader/>
          <w:jc w:val="center"/>
        </w:trPr>
        <w:tc>
          <w:tcPr>
            <w:tcW w:w="2911" w:type="dxa"/>
            <w:gridSpan w:val="3"/>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转移支付（项目）名称</w:t>
            </w:r>
          </w:p>
        </w:tc>
        <w:tc>
          <w:tcPr>
            <w:tcW w:w="6377" w:type="dxa"/>
            <w:gridSpan w:val="5"/>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中央财政目标价格补贴 (玉米和大豆）</w:t>
            </w:r>
          </w:p>
        </w:tc>
      </w:tr>
      <w:tr>
        <w:tblPrEx>
          <w:tblCellMar>
            <w:top w:w="0" w:type="dxa"/>
            <w:left w:w="108" w:type="dxa"/>
            <w:bottom w:w="0" w:type="dxa"/>
            <w:right w:w="108" w:type="dxa"/>
          </w:tblCellMar>
        </w:tblPrEx>
        <w:trPr>
          <w:cantSplit/>
          <w:trHeight w:val="317" w:hRule="atLeast"/>
          <w:tblHeader/>
          <w:jc w:val="center"/>
        </w:trPr>
        <w:tc>
          <w:tcPr>
            <w:tcW w:w="2911" w:type="dxa"/>
            <w:gridSpan w:val="3"/>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省级主管部门</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 xml:space="preserve">辽宁省农业农村厅 </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辽宁省财政厅</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资金使用单位</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hint="eastAsia" w:ascii="Times New Roman" w:hAnsi="Times New Roman" w:eastAsia="宋体" w:cs="Times New Roman"/>
                <w:color w:val="000000"/>
                <w:sz w:val="16"/>
                <w:szCs w:val="16"/>
                <w:lang w:eastAsia="zh-CN"/>
              </w:rPr>
            </w:pPr>
            <w:r>
              <w:rPr>
                <w:rFonts w:ascii="Times New Roman" w:hAnsi="Times New Roman" w:eastAsia="宋体" w:cs="Times New Roman"/>
                <w:color w:val="000000"/>
                <w:sz w:val="16"/>
                <w:szCs w:val="16"/>
              </w:rPr>
              <w:t>XX</w:t>
            </w:r>
            <w:r>
              <w:rPr>
                <w:rFonts w:hint="eastAsia" w:ascii="Times New Roman" w:hAnsi="Times New Roman" w:eastAsia="宋体" w:cs="Times New Roman"/>
                <w:color w:val="000000"/>
                <w:sz w:val="16"/>
                <w:szCs w:val="16"/>
                <w:lang w:eastAsia="zh-CN"/>
              </w:rPr>
              <w:t>县（区）</w:t>
            </w: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资金投入情况</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（万元）</w:t>
            </w: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全年预算数（A）</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全年执行数（B）</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预算执行率（B/A×100%)</w:t>
            </w: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年度资金总额</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其中：中央财政资金</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地方资金</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其他资金</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资金管理情况</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情况说明</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存在问题和改进措施</w:t>
            </w: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分配科学性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下达及时性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拨付合规性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使用规范性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执行准确性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预算绩效管理情况</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支出责任履行情况</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restart"/>
            <w:tcBorders>
              <w:top w:val="nil"/>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总体目标完成情况</w:t>
            </w:r>
          </w:p>
        </w:tc>
        <w:tc>
          <w:tcPr>
            <w:tcW w:w="6615" w:type="dxa"/>
            <w:gridSpan w:val="5"/>
            <w:tcBorders>
              <w:top w:val="nil"/>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总体目标</w:t>
            </w:r>
          </w:p>
        </w:tc>
        <w:tc>
          <w:tcPr>
            <w:tcW w:w="1995" w:type="dxa"/>
            <w:gridSpan w:val="2"/>
            <w:tcBorders>
              <w:top w:val="nil"/>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全年实际完成情况</w:t>
            </w: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6615" w:type="dxa"/>
            <w:gridSpan w:val="5"/>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落实好玉米和大豆生产者补贴有关工作，引导种植结构调整，保障农民种粮收益。加强补贴资金管理，确保补贴资金合规、安全、高效使用。</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绩效指标</w:t>
            </w:r>
          </w:p>
        </w:tc>
        <w:tc>
          <w:tcPr>
            <w:tcW w:w="9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一级</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指标</w:t>
            </w: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二级指标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三级指标</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指标值</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全年实际完成值</w:t>
            </w: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未完成原因和改进措施</w:t>
            </w: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产出指标</w:t>
            </w: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数量指标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补贴资金纳入粮食风险基金专户管理</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100%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质量指标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制定符合当地实际的补贴实施方案</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是</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bottom w:val="nil"/>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时效指标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2026年产玉米、大豆集中上市前兑付补贴资金</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100%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效益指标</w:t>
            </w: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经济效益</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补贴资金兑付给玉米和大豆生产者的比例</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100%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bottom w:val="nil"/>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社会效益指标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建立玉米和大豆生产者补贴公示制度</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是</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满意度指标</w:t>
            </w:r>
          </w:p>
        </w:tc>
        <w:tc>
          <w:tcPr>
            <w:tcW w:w="1318"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服务对象满意度指标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玉米种植者满意度</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≥90%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大豆种植者满意度</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≥90%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说明</w:t>
            </w:r>
          </w:p>
        </w:tc>
        <w:tc>
          <w:tcPr>
            <w:tcW w:w="8610" w:type="dxa"/>
            <w:gridSpan w:val="7"/>
            <w:tcBorders>
              <w:top w:val="single" w:color="auto" w:sz="6" w:space="0"/>
              <w:left w:val="single" w:color="auto" w:sz="6" w:space="0"/>
              <w:bottom w:val="single" w:color="auto" w:sz="6" w:space="0"/>
              <w:right w:val="single" w:color="auto" w:sz="6" w:space="0"/>
            </w:tcBorders>
            <w:vAlign w:val="center"/>
          </w:tcPr>
          <w:p>
            <w:pPr>
              <w:snapToGrid w:val="0"/>
              <w:jc w:val="both"/>
              <w:rPr>
                <w:rFonts w:ascii="Times New Roman" w:hAnsi="Times New Roman" w:eastAsia="宋体" w:cs="Times New Roman"/>
                <w:color w:val="000000"/>
                <w:sz w:val="16"/>
                <w:szCs w:val="16"/>
              </w:rPr>
            </w:pPr>
            <w:r>
              <w:rPr>
                <w:rFonts w:ascii="Times New Roman" w:hAnsi="Times New Roman" w:eastAsia="宋体" w:cs="Times New Roman"/>
                <w:sz w:val="16"/>
                <w:szCs w:val="16"/>
              </w:rPr>
              <w:t>请在此处简要说明中央巡视、各级审计和财政监督中发现的问题及其所涉及的金额，如没有请填无。</w:t>
            </w:r>
          </w:p>
        </w:tc>
      </w:tr>
    </w:tbl>
    <w:p>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0"/>
          <w:szCs w:val="20"/>
        </w:rPr>
      </w:pPr>
      <w:r>
        <w:rPr>
          <w:rFonts w:ascii="Times New Roman" w:hAnsi="Times New Roman" w:eastAsia="宋体" w:cs="Times New Roman"/>
          <w:sz w:val="20"/>
          <w:szCs w:val="20"/>
        </w:rPr>
        <w:t>注：1.资金使用单位按项目绩效目标填报，主管部门汇总时按区域绩效目标填报。</w:t>
      </w:r>
    </w:p>
    <w:p>
      <w:pPr>
        <w:keepNext w:val="0"/>
        <w:keepLines w:val="0"/>
        <w:pageBreakBefore w:val="0"/>
        <w:widowControl w:val="0"/>
        <w:kinsoku/>
        <w:wordWrap/>
        <w:overflowPunct/>
        <w:topLinePunct w:val="0"/>
        <w:autoSpaceDE/>
        <w:autoSpaceDN/>
        <w:bidi w:val="0"/>
        <w:adjustRightInd/>
        <w:snapToGrid/>
        <w:ind w:firstLine="400" w:firstLineChars="200"/>
        <w:textAlignment w:val="auto"/>
        <w:rPr>
          <w:rFonts w:ascii="Times New Roman" w:hAnsi="Times New Roman" w:cs="Times New Roman"/>
          <w:sz w:val="20"/>
          <w:szCs w:val="20"/>
        </w:rPr>
      </w:pPr>
      <w:r>
        <w:rPr>
          <w:rFonts w:ascii="Times New Roman" w:hAnsi="Times New Roman" w:cs="Times New Roman"/>
          <w:sz w:val="20"/>
          <w:szCs w:val="20"/>
        </w:rPr>
        <w:t>2.其他资金包括与中央财政资金、地方财政资金共同投入到同一项目的自有资金、社会资金，以及以前年度的结转结余资金等。</w:t>
      </w:r>
    </w:p>
    <w:p>
      <w:pPr>
        <w:keepNext w:val="0"/>
        <w:keepLines w:val="0"/>
        <w:pageBreakBefore w:val="0"/>
        <w:widowControl w:val="0"/>
        <w:kinsoku/>
        <w:wordWrap/>
        <w:overflowPunct/>
        <w:topLinePunct w:val="0"/>
        <w:autoSpaceDE/>
        <w:autoSpaceDN/>
        <w:bidi w:val="0"/>
        <w:adjustRightInd/>
        <w:snapToGrid/>
        <w:ind w:firstLine="400" w:firstLineChars="200"/>
        <w:textAlignment w:val="auto"/>
        <w:rPr>
          <w:rFonts w:ascii="Times New Roman" w:hAnsi="Times New Roman" w:cs="Times New Roman"/>
          <w:sz w:val="20"/>
          <w:szCs w:val="20"/>
        </w:rPr>
      </w:pPr>
      <w:r>
        <w:rPr>
          <w:rFonts w:ascii="Times New Roman" w:hAnsi="Times New Roman" w:cs="Times New Roman"/>
          <w:sz w:val="20"/>
          <w:szCs w:val="20"/>
        </w:rPr>
        <w:t>3.全年执行数是指按照国库集中支付制度要求所形成的实际支出。</w:t>
      </w:r>
    </w:p>
    <w:p>
      <w:pPr>
        <w:keepNext w:val="0"/>
        <w:keepLines w:val="0"/>
        <w:pageBreakBefore w:val="0"/>
        <w:widowControl w:val="0"/>
        <w:kinsoku/>
        <w:wordWrap/>
        <w:overflowPunct/>
        <w:topLinePunct w:val="0"/>
        <w:autoSpaceDE/>
        <w:autoSpaceDN/>
        <w:bidi w:val="0"/>
        <w:adjustRightInd/>
        <w:snapToGrid/>
        <w:ind w:firstLine="400" w:firstLineChars="200"/>
        <w:textAlignment w:val="auto"/>
        <w:rPr>
          <w:rFonts w:ascii="Times New Roman" w:hAnsi="Times New Roman" w:cs="Times New Roman"/>
          <w:sz w:val="20"/>
          <w:szCs w:val="20"/>
        </w:rPr>
      </w:pPr>
    </w:p>
    <w:p>
      <w:pPr>
        <w:spacing w:line="560" w:lineRule="exact"/>
        <w:rPr>
          <w:rFonts w:hint="eastAsia" w:ascii="Times New Roman" w:hAnsi="Times New Roman" w:eastAsia="黑体" w:cs="Times New Roman"/>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5</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目标价格补贴(稻谷)绩效自评表</w:t>
      </w:r>
    </w:p>
    <w:p>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楷体_GB2312" w:hAnsi="楷体_GB2312" w:eastAsia="楷体_GB2312" w:cs="楷体_GB2312"/>
          <w:b w:val="0"/>
          <w:bCs w:val="0"/>
          <w:sz w:val="28"/>
          <w:szCs w:val="28"/>
        </w:rPr>
      </w:pPr>
      <w:r>
        <w:rPr>
          <w:rFonts w:hint="eastAsia" w:ascii="楷体_GB2312" w:hAnsi="楷体_GB2312" w:eastAsia="楷体_GB2312" w:cs="楷体_GB2312"/>
          <w:b w:val="0"/>
          <w:bCs w:val="0"/>
          <w:sz w:val="28"/>
          <w:szCs w:val="28"/>
        </w:rPr>
        <w:t>（2026年度）</w:t>
      </w:r>
    </w:p>
    <w:tbl>
      <w:tblPr>
        <w:tblStyle w:val="4"/>
        <w:tblW w:w="9288" w:type="dxa"/>
        <w:jc w:val="center"/>
        <w:tblLayout w:type="autofit"/>
        <w:tblCellMar>
          <w:top w:w="0" w:type="dxa"/>
          <w:left w:w="108" w:type="dxa"/>
          <w:bottom w:w="0" w:type="dxa"/>
          <w:right w:w="108" w:type="dxa"/>
        </w:tblCellMar>
      </w:tblPr>
      <w:tblGrid>
        <w:gridCol w:w="678"/>
        <w:gridCol w:w="915"/>
        <w:gridCol w:w="1318"/>
        <w:gridCol w:w="1622"/>
        <w:gridCol w:w="1245"/>
        <w:gridCol w:w="1515"/>
        <w:gridCol w:w="900"/>
        <w:gridCol w:w="1095"/>
      </w:tblGrid>
      <w:tr>
        <w:tblPrEx>
          <w:tblCellMar>
            <w:top w:w="0" w:type="dxa"/>
            <w:left w:w="108" w:type="dxa"/>
            <w:bottom w:w="0" w:type="dxa"/>
            <w:right w:w="108" w:type="dxa"/>
          </w:tblCellMar>
        </w:tblPrEx>
        <w:trPr>
          <w:cantSplit/>
          <w:trHeight w:val="317" w:hRule="atLeast"/>
          <w:tblHeader/>
          <w:jc w:val="center"/>
        </w:trPr>
        <w:tc>
          <w:tcPr>
            <w:tcW w:w="2911" w:type="dxa"/>
            <w:gridSpan w:val="3"/>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转移支付（项目）名称</w:t>
            </w:r>
          </w:p>
        </w:tc>
        <w:tc>
          <w:tcPr>
            <w:tcW w:w="6377" w:type="dxa"/>
            <w:gridSpan w:val="5"/>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中央财政目标价格补贴 (</w:t>
            </w:r>
            <w:r>
              <w:rPr>
                <w:rFonts w:hint="eastAsia" w:ascii="Times New Roman" w:hAnsi="Times New Roman" w:eastAsia="宋体" w:cs="Times New Roman"/>
                <w:color w:val="000000"/>
                <w:sz w:val="16"/>
                <w:szCs w:val="16"/>
                <w:lang w:eastAsia="zh-CN"/>
              </w:rPr>
              <w:t>稻谷</w:t>
            </w:r>
            <w:r>
              <w:rPr>
                <w:rFonts w:ascii="Times New Roman" w:hAnsi="Times New Roman" w:eastAsia="宋体" w:cs="Times New Roman"/>
                <w:color w:val="000000"/>
                <w:sz w:val="16"/>
                <w:szCs w:val="16"/>
              </w:rPr>
              <w:t>）</w:t>
            </w:r>
          </w:p>
        </w:tc>
      </w:tr>
      <w:tr>
        <w:tblPrEx>
          <w:tblCellMar>
            <w:top w:w="0" w:type="dxa"/>
            <w:left w:w="108" w:type="dxa"/>
            <w:bottom w:w="0" w:type="dxa"/>
            <w:right w:w="108" w:type="dxa"/>
          </w:tblCellMar>
        </w:tblPrEx>
        <w:trPr>
          <w:cantSplit/>
          <w:trHeight w:val="317" w:hRule="atLeast"/>
          <w:tblHeader/>
          <w:jc w:val="center"/>
        </w:trPr>
        <w:tc>
          <w:tcPr>
            <w:tcW w:w="2911" w:type="dxa"/>
            <w:gridSpan w:val="3"/>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省级主管部门</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 xml:space="preserve">辽宁省农业农村厅 </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辽宁省财政厅</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资金使用单位</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hint="eastAsia" w:ascii="Times New Roman" w:hAnsi="Times New Roman" w:eastAsia="宋体" w:cs="Times New Roman"/>
                <w:color w:val="000000"/>
                <w:sz w:val="16"/>
                <w:szCs w:val="16"/>
                <w:lang w:eastAsia="zh-CN"/>
              </w:rPr>
            </w:pPr>
            <w:r>
              <w:rPr>
                <w:rFonts w:ascii="Times New Roman" w:hAnsi="Times New Roman" w:eastAsia="宋体" w:cs="Times New Roman"/>
                <w:color w:val="000000"/>
                <w:sz w:val="16"/>
                <w:szCs w:val="16"/>
              </w:rPr>
              <w:t>XX</w:t>
            </w:r>
            <w:r>
              <w:rPr>
                <w:rFonts w:hint="eastAsia" w:ascii="Times New Roman" w:hAnsi="Times New Roman" w:eastAsia="宋体" w:cs="Times New Roman"/>
                <w:color w:val="000000"/>
                <w:sz w:val="16"/>
                <w:szCs w:val="16"/>
                <w:lang w:eastAsia="zh-CN"/>
              </w:rPr>
              <w:t>县（区）</w:t>
            </w: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资金投入情况</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（万元）</w:t>
            </w: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全年预算数（A）</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全年执行数（B）</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预算执行率（B/A×100%)</w:t>
            </w: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年度资金总额</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其中：中央财政资金</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地方资金</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622"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其他资金</w:t>
            </w:r>
          </w:p>
        </w:tc>
        <w:tc>
          <w:tcPr>
            <w:tcW w:w="124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资金管理情况</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情况说明</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存在问题和改进措施</w:t>
            </w: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分配科学性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下达及时性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拨付合规性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使用规范性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执行准确性</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预算绩效管理情况</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2911" w:type="dxa"/>
            <w:gridSpan w:val="3"/>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支出责任履行情况</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restart"/>
            <w:tcBorders>
              <w:top w:val="nil"/>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总体目标完成情况</w:t>
            </w:r>
          </w:p>
        </w:tc>
        <w:tc>
          <w:tcPr>
            <w:tcW w:w="6615" w:type="dxa"/>
            <w:gridSpan w:val="5"/>
            <w:tcBorders>
              <w:top w:val="nil"/>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总体目标</w:t>
            </w:r>
          </w:p>
        </w:tc>
        <w:tc>
          <w:tcPr>
            <w:tcW w:w="1995" w:type="dxa"/>
            <w:gridSpan w:val="2"/>
            <w:tcBorders>
              <w:top w:val="nil"/>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全年实际完成情况</w:t>
            </w: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6615" w:type="dxa"/>
            <w:gridSpan w:val="5"/>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落实好稻谷补贴有关工作，保障农民种粮收益，引导种植结构调整。加强补贴资金管理，确保补贴资金合规、安全、高效使用。</w:t>
            </w:r>
          </w:p>
        </w:tc>
        <w:tc>
          <w:tcPr>
            <w:tcW w:w="1995"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绩效指标</w:t>
            </w:r>
          </w:p>
        </w:tc>
        <w:tc>
          <w:tcPr>
            <w:tcW w:w="9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一级</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指标</w:t>
            </w: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二级指标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三级指标</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指标值</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全年实际完成值</w:t>
            </w: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未完成原因和改进措施</w:t>
            </w: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产出指标</w:t>
            </w: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数量指标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补贴资金纳入粮食风险基金专户管理</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100%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质量指标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制定符合当地实际的补贴实施方案</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是</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bottom w:val="nil"/>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时效指标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2026年稻谷集中上市前兑付补贴资金</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100%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restart"/>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效益指标</w:t>
            </w: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经济效益</w:t>
            </w:r>
          </w:p>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补贴资金用于稻谷相关支出的比例</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100%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vMerge w:val="continue"/>
            <w:tcBorders>
              <w:left w:val="single" w:color="auto" w:sz="6" w:space="0"/>
              <w:bottom w:val="nil"/>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318"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社会效益指标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rPr>
              <w:t>建立稻谷补贴公示制度</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是</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vMerge w:val="continue"/>
            <w:tcBorders>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915" w:type="dxa"/>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满意度指标</w:t>
            </w:r>
          </w:p>
        </w:tc>
        <w:tc>
          <w:tcPr>
            <w:tcW w:w="1318" w:type="dxa"/>
            <w:tcBorders>
              <w:top w:val="single" w:color="auto" w:sz="6" w:space="0"/>
              <w:left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服务对象满意度指标</w:t>
            </w:r>
          </w:p>
        </w:tc>
        <w:tc>
          <w:tcPr>
            <w:tcW w:w="2867" w:type="dxa"/>
            <w:gridSpan w:val="2"/>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hint="eastAsia" w:ascii="Times New Roman" w:hAnsi="Times New Roman" w:eastAsia="宋体" w:cs="Times New Roman"/>
                <w:color w:val="000000"/>
                <w:sz w:val="16"/>
                <w:szCs w:val="16"/>
                <w:lang w:eastAsia="zh-CN"/>
              </w:rPr>
              <w:t>稻谷种植者等补贴对象的满意度</w:t>
            </w:r>
          </w:p>
        </w:tc>
        <w:tc>
          <w:tcPr>
            <w:tcW w:w="151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≥90%</w:t>
            </w:r>
          </w:p>
        </w:tc>
        <w:tc>
          <w:tcPr>
            <w:tcW w:w="900"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c>
          <w:tcPr>
            <w:tcW w:w="1095" w:type="dxa"/>
            <w:tcBorders>
              <w:top w:val="single" w:color="auto" w:sz="6" w:space="0"/>
              <w:left w:val="single" w:color="auto" w:sz="6" w:space="0"/>
              <w:bottom w:val="single" w:color="auto" w:sz="6" w:space="0"/>
              <w:right w:val="single" w:color="auto" w:sz="6" w:space="0"/>
              <w:tl2br w:val="nil"/>
              <w:tr2bl w:val="nil"/>
            </w:tcBorders>
            <w:vAlign w:val="center"/>
          </w:tcPr>
          <w:p>
            <w:pPr>
              <w:snapToGrid w:val="0"/>
              <w:jc w:val="center"/>
              <w:rPr>
                <w:rFonts w:ascii="Times New Roman" w:hAnsi="Times New Roman" w:eastAsia="宋体" w:cs="Times New Roman"/>
                <w:color w:val="000000"/>
                <w:sz w:val="16"/>
                <w:szCs w:val="16"/>
              </w:rPr>
            </w:pPr>
          </w:p>
        </w:tc>
      </w:tr>
      <w:tr>
        <w:tblPrEx>
          <w:tblCellMar>
            <w:top w:w="0" w:type="dxa"/>
            <w:left w:w="108" w:type="dxa"/>
            <w:bottom w:w="0" w:type="dxa"/>
            <w:right w:w="108" w:type="dxa"/>
          </w:tblCellMar>
        </w:tblPrEx>
        <w:trPr>
          <w:cantSplit/>
          <w:trHeight w:val="317" w:hRule="atLeast"/>
          <w:tblHeader/>
          <w:jc w:val="center"/>
        </w:trPr>
        <w:tc>
          <w:tcPr>
            <w:tcW w:w="678" w:type="dxa"/>
            <w:tcBorders>
              <w:top w:val="single" w:color="auto" w:sz="6" w:space="0"/>
              <w:left w:val="single" w:color="auto" w:sz="6" w:space="0"/>
              <w:bottom w:val="single" w:color="auto" w:sz="6" w:space="0"/>
              <w:right w:val="single" w:color="auto" w:sz="6" w:space="0"/>
            </w:tcBorders>
            <w:vAlign w:val="center"/>
          </w:tcPr>
          <w:p>
            <w:pPr>
              <w:snapToGrid w:val="0"/>
              <w:jc w:val="center"/>
              <w:rPr>
                <w:rFonts w:ascii="Times New Roman" w:hAnsi="Times New Roman" w:eastAsia="宋体" w:cs="Times New Roman"/>
                <w:color w:val="000000"/>
                <w:sz w:val="16"/>
                <w:szCs w:val="16"/>
              </w:rPr>
            </w:pPr>
            <w:r>
              <w:rPr>
                <w:rFonts w:ascii="Times New Roman" w:hAnsi="Times New Roman" w:eastAsia="宋体" w:cs="Times New Roman"/>
                <w:color w:val="000000"/>
                <w:sz w:val="16"/>
                <w:szCs w:val="16"/>
              </w:rPr>
              <w:t>说明</w:t>
            </w:r>
          </w:p>
        </w:tc>
        <w:tc>
          <w:tcPr>
            <w:tcW w:w="8610" w:type="dxa"/>
            <w:gridSpan w:val="7"/>
            <w:tcBorders>
              <w:top w:val="single" w:color="auto" w:sz="6" w:space="0"/>
              <w:left w:val="single" w:color="auto" w:sz="6" w:space="0"/>
              <w:bottom w:val="single" w:color="auto" w:sz="6" w:space="0"/>
              <w:right w:val="single" w:color="auto" w:sz="6" w:space="0"/>
            </w:tcBorders>
            <w:vAlign w:val="center"/>
          </w:tcPr>
          <w:p>
            <w:pPr>
              <w:snapToGrid w:val="0"/>
              <w:jc w:val="both"/>
              <w:rPr>
                <w:rFonts w:ascii="Times New Roman" w:hAnsi="Times New Roman" w:eastAsia="宋体" w:cs="Times New Roman"/>
                <w:color w:val="000000"/>
                <w:sz w:val="16"/>
                <w:szCs w:val="16"/>
              </w:rPr>
            </w:pPr>
            <w:r>
              <w:rPr>
                <w:rFonts w:ascii="Times New Roman" w:hAnsi="Times New Roman" w:eastAsia="宋体" w:cs="Times New Roman"/>
                <w:sz w:val="16"/>
                <w:szCs w:val="16"/>
              </w:rPr>
              <w:t>请在此处简要说明中央巡视、各级审计和财政监督中发现的问题及其所涉及的金额，如没有请填无。</w:t>
            </w:r>
          </w:p>
        </w:tc>
      </w:tr>
    </w:tbl>
    <w:p>
      <w:pPr>
        <w:keepNext w:val="0"/>
        <w:keepLines w:val="0"/>
        <w:pageBreakBefore w:val="0"/>
        <w:widowControl w:val="0"/>
        <w:kinsoku/>
        <w:wordWrap/>
        <w:overflowPunct/>
        <w:topLinePunct w:val="0"/>
        <w:autoSpaceDE/>
        <w:autoSpaceDN/>
        <w:bidi w:val="0"/>
        <w:adjustRightInd/>
        <w:snapToGrid/>
        <w:textAlignment w:val="auto"/>
        <w:rPr>
          <w:rFonts w:ascii="Times New Roman" w:hAnsi="Times New Roman" w:eastAsia="宋体" w:cs="Times New Roman"/>
          <w:sz w:val="20"/>
          <w:szCs w:val="20"/>
        </w:rPr>
      </w:pPr>
      <w:r>
        <w:rPr>
          <w:rFonts w:ascii="Times New Roman" w:hAnsi="Times New Roman" w:eastAsia="宋体" w:cs="Times New Roman"/>
          <w:sz w:val="20"/>
          <w:szCs w:val="20"/>
        </w:rPr>
        <w:t>注：1.资金使用单位按项目绩效目标填报，主管部门汇总时按区域绩效目标填报。</w:t>
      </w:r>
    </w:p>
    <w:p>
      <w:pPr>
        <w:keepNext w:val="0"/>
        <w:keepLines w:val="0"/>
        <w:pageBreakBefore w:val="0"/>
        <w:widowControl w:val="0"/>
        <w:kinsoku/>
        <w:wordWrap/>
        <w:overflowPunct/>
        <w:topLinePunct w:val="0"/>
        <w:autoSpaceDE/>
        <w:autoSpaceDN/>
        <w:bidi w:val="0"/>
        <w:adjustRightInd/>
        <w:snapToGrid/>
        <w:ind w:firstLine="400" w:firstLineChars="200"/>
        <w:textAlignment w:val="auto"/>
        <w:rPr>
          <w:rFonts w:ascii="Times New Roman" w:hAnsi="Times New Roman" w:cs="Times New Roman"/>
          <w:sz w:val="20"/>
          <w:szCs w:val="20"/>
        </w:rPr>
      </w:pPr>
      <w:r>
        <w:rPr>
          <w:rFonts w:ascii="Times New Roman" w:hAnsi="Times New Roman" w:cs="Times New Roman"/>
          <w:sz w:val="20"/>
          <w:szCs w:val="20"/>
        </w:rPr>
        <w:t>2.其他资金包括与中央财政资金、地方财政资金共同投入到同一项目的自有资金、社会资金，以及以前年度的结转结余资金等。</w:t>
      </w:r>
    </w:p>
    <w:p>
      <w:pPr>
        <w:ind w:firstLine="420"/>
        <w:rPr>
          <w:rFonts w:ascii="Times New Roman" w:hAnsi="Times New Roman" w:cs="Times New Roman"/>
          <w:szCs w:val="21"/>
        </w:rPr>
      </w:pPr>
      <w:r>
        <w:rPr>
          <w:rFonts w:ascii="Times New Roman" w:hAnsi="Times New Roman" w:cs="Times New Roman"/>
          <w:sz w:val="20"/>
          <w:szCs w:val="20"/>
        </w:rPr>
        <w:t>3.全年执行数是指按照国库集中支付制度要求所形成的实际支出。</w:t>
      </w:r>
    </w:p>
    <w:p>
      <w:pPr>
        <w:rPr>
          <w:rFonts w:hint="eastAsia" w:ascii="仿宋" w:hAnsi="仿宋" w:eastAsia="仿宋" w:cs="仿宋"/>
          <w:color w:val="000000"/>
          <w:kern w:val="0"/>
          <w:sz w:val="32"/>
          <w:szCs w:val="32"/>
          <w:lang w:val="en-US" w:eastAsia="zh-CN"/>
        </w:rPr>
        <w:sectPr>
          <w:pgSz w:w="11850" w:h="16838"/>
          <w:pgMar w:top="1701" w:right="1417" w:bottom="1701" w:left="1417" w:header="851" w:footer="1417" w:gutter="0"/>
          <w:pgNumType w:fmt="decimal"/>
          <w:cols w:space="0" w:num="1"/>
          <w:rtlGutter w:val="0"/>
          <w:docGrid w:type="lines" w:linePitch="312" w:charSpace="0"/>
        </w:sectPr>
      </w:pPr>
    </w:p>
    <w:p>
      <w:pPr>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6</w:t>
      </w:r>
    </w:p>
    <w:p>
      <w:pPr>
        <w:spacing w:line="560" w:lineRule="exact"/>
        <w:rPr>
          <w:rFonts w:hint="eastAsia" w:ascii="黑体" w:hAnsi="黑体" w:eastAsia="黑体" w:cs="黑体"/>
          <w:sz w:val="32"/>
          <w:szCs w:val="32"/>
        </w:rPr>
      </w:pPr>
    </w:p>
    <w:p>
      <w:pPr>
        <w:spacing w:line="560" w:lineRule="exact"/>
        <w:jc w:val="center"/>
        <w:rPr>
          <w:rFonts w:ascii="Times New Roman" w:hAnsi="Times New Roman" w:eastAsia="宋体" w:cs="Times New Roman"/>
          <w:b/>
          <w:sz w:val="44"/>
        </w:rPr>
      </w:pPr>
      <w:r>
        <w:rPr>
          <w:rFonts w:hint="eastAsia" w:ascii="方正小标宋简体" w:hAnsi="方正小标宋简体" w:eastAsia="方正小标宋简体" w:cs="方正小标宋简体"/>
          <w:bCs/>
          <w:sz w:val="44"/>
        </w:rPr>
        <w:t>2026年支持高油高蛋白优质大豆生产发展政策实施方案</w:t>
      </w:r>
    </w:p>
    <w:p>
      <w:pPr>
        <w:rPr>
          <w:rFonts w:hint="eastAsia" w:ascii="仿宋" w:hAnsi="仿宋" w:eastAsia="仿宋" w:cs="仿宋"/>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为落实国家、省级关于支持高油高蛋白大豆生产发展政策，根据《关于下达中央财政2026年目标价格（玉米大豆）补贴资金预算指标的通知》（辽财指经〔2026〕209号）文件要求，今年我市将继续支持高油高蛋白的优质大豆品种生产。</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一、支持品种</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val="en-US" w:eastAsia="zh-CN"/>
        </w:rPr>
        <w:t>对通过国家和省级审定、适宜在当地生态区种植的高油高产、高蛋白大豆品种给予支持。高油品种的脂肪含量应达到21.5%（2024年以后审定的品种达到22%），高蛋白品种的蛋白含量应达到43%（2024年以后审定的品种达到45%）。2011年以来，通过国家和我省审定的优质品种名录详见附件1、附件2。</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二、实施内容及方式</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highlight w:val="yellow"/>
          <w:lang w:val="en-US" w:eastAsia="zh-CN"/>
        </w:rPr>
      </w:pPr>
      <w:r>
        <w:rPr>
          <w:rFonts w:hint="eastAsia" w:ascii="仿宋" w:hAnsi="仿宋" w:eastAsia="仿宋" w:cs="仿宋"/>
          <w:color w:val="000000"/>
          <w:kern w:val="0"/>
          <w:sz w:val="32"/>
          <w:szCs w:val="32"/>
          <w:lang w:val="en-US" w:eastAsia="zh-CN"/>
        </w:rPr>
        <w:t>结合我市实际，从优质大豆品种补贴、良种繁育基地建设两方面给予支持，优先用于优质大豆品种补贴。补贴实施区域为全市各县（区）</w:t>
      </w:r>
      <w:r>
        <w:rPr>
          <w:rFonts w:hint="eastAsia" w:ascii="仿宋" w:hAnsi="仿宋" w:eastAsia="仿宋" w:cs="仿宋"/>
          <w:color w:val="000000"/>
          <w:kern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highlight w:val="none"/>
          <w:lang w:val="en-US" w:eastAsia="zh-CN"/>
        </w:rPr>
        <w:t>（一）优质大豆品种补贴。</w:t>
      </w:r>
      <w:r>
        <w:rPr>
          <w:rFonts w:hint="eastAsia" w:ascii="仿宋" w:hAnsi="仿宋" w:eastAsia="仿宋" w:cs="仿宋"/>
          <w:b/>
          <w:bCs/>
          <w:color w:val="000000"/>
          <w:kern w:val="0"/>
          <w:sz w:val="32"/>
          <w:szCs w:val="32"/>
          <w:highlight w:val="none"/>
          <w:lang w:val="en-US" w:eastAsia="zh-CN"/>
        </w:rPr>
        <w:t>补贴对象及标准。</w:t>
      </w:r>
      <w:r>
        <w:rPr>
          <w:rFonts w:hint="eastAsia" w:ascii="仿宋" w:hAnsi="仿宋" w:eastAsia="仿宋" w:cs="仿宋"/>
          <w:color w:val="000000"/>
          <w:kern w:val="0"/>
          <w:sz w:val="32"/>
          <w:szCs w:val="32"/>
          <w:lang w:val="en-US" w:eastAsia="zh-CN"/>
        </w:rPr>
        <w:t>补贴对象为当季购买经国家或省级审定的优质大豆品种，在合法耕地上种植，并纳入今年大豆生产者补贴范围的实际生产者（不含自留种的生产者）。优质大豆种子购买补贴限期为2025年9月1日-2026年7月15日。同一主体可同时申报高油大豆补贴和高蛋白大豆补贴，但同一地块不可重复申报。申报补贴的优质大豆品种需在正规种子经营单位购买，且能提供正规发票。优质大豆生产者上报的种植面积应与种子数量相匹配。补贴标准根据资金总额和申报补贴面积确定，每亩优质大豆品种补贴标准不得超过35元。</w:t>
      </w:r>
      <w:r>
        <w:rPr>
          <w:rFonts w:hint="eastAsia" w:ascii="仿宋" w:hAnsi="仿宋" w:eastAsia="仿宋" w:cs="仿宋"/>
          <w:b/>
          <w:bCs/>
          <w:color w:val="000000"/>
          <w:kern w:val="0"/>
          <w:sz w:val="32"/>
          <w:szCs w:val="32"/>
          <w:lang w:val="en-US" w:eastAsia="zh-CN"/>
        </w:rPr>
        <w:t>申报流程。</w:t>
      </w:r>
      <w:r>
        <w:rPr>
          <w:rFonts w:hint="eastAsia" w:ascii="仿宋" w:hAnsi="仿宋" w:eastAsia="仿宋" w:cs="仿宋"/>
          <w:color w:val="000000"/>
          <w:kern w:val="0"/>
          <w:sz w:val="32"/>
          <w:szCs w:val="32"/>
          <w:lang w:val="en-US" w:eastAsia="zh-CN"/>
        </w:rPr>
        <w:t>优质大豆品种补贴与生产者补贴同步开展申报、核实、公示、资金发放等程序。生产主体自主申报优质大豆品种补贴，填写《2026年优质大豆品种补贴申报及核实确认表》（附件3），并提供规定期限内购买高油高蛋白大豆品种的佐证材料，相关申报材料要由村委会、镇政府进行存档。各县（区）农业农村局于7月31日前将优质大豆品种补贴核实面积报市农业农村局，市级农业农村局同步测算生产者补贴和优质大豆品种补贴标准，提出资金分配意见，市财政局</w:t>
      </w:r>
      <w:r>
        <w:rPr>
          <w:rFonts w:hint="default" w:ascii="仿宋" w:hAnsi="仿宋" w:eastAsia="仿宋" w:cs="仿宋"/>
          <w:color w:val="000000"/>
          <w:kern w:val="0"/>
          <w:sz w:val="32"/>
          <w:szCs w:val="32"/>
          <w:lang w:val="en-US" w:eastAsia="zh-CN"/>
        </w:rPr>
        <w:t>根据资金分配意见按程序将补贴资金拨付至各县区</w:t>
      </w:r>
      <w:r>
        <w:rPr>
          <w:rFonts w:hint="eastAsia" w:ascii="仿宋" w:hAnsi="仿宋" w:eastAsia="仿宋" w:cs="仿宋"/>
          <w:color w:val="000000"/>
          <w:kern w:val="0"/>
          <w:sz w:val="32"/>
          <w:szCs w:val="32"/>
          <w:lang w:val="en-US" w:eastAsia="zh-CN"/>
        </w:rPr>
        <w:t>。补贴资金必须按要求于10月31日前通过“一卡通”账户发到农户手中。</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val="en-US" w:eastAsia="zh-CN"/>
        </w:rPr>
        <w:t>（二）优质大豆良种繁育基地建设。</w:t>
      </w:r>
      <w:r>
        <w:rPr>
          <w:rFonts w:hint="eastAsia" w:ascii="仿宋" w:hAnsi="仿宋" w:eastAsia="仿宋" w:cs="仿宋"/>
          <w:color w:val="000000"/>
          <w:kern w:val="0"/>
          <w:sz w:val="32"/>
          <w:szCs w:val="32"/>
          <w:lang w:val="en-US" w:eastAsia="zh-CN"/>
        </w:rPr>
        <w:t>根据高油高蛋白优质大豆品种推广需求，明确一批重点支持品种，建设优质大豆良种繁育基地。单个基地应集中连片，面积不低于50亩。优先支持统一种植品种、统一水肥管理、统一病虫害防控、统一技术指导、统一机械作业的基地，确保供种质量。亩均补助标准最高不超过150元。承担优质大豆良种繁育基地建设任务的主体，在同一年度内不得同时申报或享受优质大豆品种补贴。</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三、工作要求</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val="en-US" w:eastAsia="zh-CN"/>
        </w:rPr>
        <w:t>（一）强化组织领导。</w:t>
      </w:r>
      <w:r>
        <w:rPr>
          <w:rFonts w:hint="eastAsia" w:ascii="仿宋" w:hAnsi="仿宋" w:eastAsia="仿宋" w:cs="仿宋"/>
          <w:color w:val="000000"/>
          <w:kern w:val="0"/>
          <w:sz w:val="32"/>
          <w:szCs w:val="32"/>
          <w:lang w:val="en-US" w:eastAsia="zh-CN"/>
        </w:rPr>
        <w:t>各县（区）要明确责任分工，结合省、市级实施方案科学制定县（区）级实施方案。请各县（区）于6月29日前将项目实施方案报市农业农村局进行审核批复。</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val="en-US" w:eastAsia="zh-CN"/>
        </w:rPr>
        <w:t>（二）强化公示公开。</w:t>
      </w:r>
      <w:r>
        <w:rPr>
          <w:rFonts w:hint="eastAsia" w:ascii="仿宋" w:hAnsi="仿宋" w:eastAsia="仿宋" w:cs="仿宋"/>
          <w:color w:val="000000"/>
          <w:kern w:val="0"/>
          <w:sz w:val="32"/>
          <w:szCs w:val="32"/>
          <w:lang w:val="en-US" w:eastAsia="zh-CN"/>
        </w:rPr>
        <w:t>要加大公示公开力度，按规定程序公开项目实施内容、资金安排等信息，广泛接受社会监督。加强政策宣传解读，提高种植主体政策知晓度，确保补贴政策落地见效。</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val="en-US" w:eastAsia="zh-CN"/>
        </w:rPr>
        <w:t>（三）强化政策落实。</w:t>
      </w:r>
      <w:r>
        <w:rPr>
          <w:rFonts w:hint="eastAsia" w:ascii="仿宋" w:hAnsi="仿宋" w:eastAsia="仿宋" w:cs="仿宋"/>
          <w:color w:val="000000"/>
          <w:kern w:val="0"/>
          <w:sz w:val="32"/>
          <w:szCs w:val="32"/>
          <w:lang w:val="en-US" w:eastAsia="zh-CN"/>
        </w:rPr>
        <w:t>各县（区）要统筹使用以前年度结余资金，确保本年全面完成项目建设。补贴资金优先落实优质大豆品种补贴，实施优质大豆良种繁育基地建设后，若仍有结余，可统筹划入大豆生产者补贴资金，与</w:t>
      </w:r>
      <w:r>
        <w:rPr>
          <w:rFonts w:hint="eastAsia" w:ascii="仿宋" w:hAnsi="仿宋" w:eastAsia="仿宋" w:cs="仿宋"/>
          <w:color w:val="000000"/>
          <w:kern w:val="0"/>
          <w:sz w:val="32"/>
          <w:szCs w:val="32"/>
          <w:highlight w:val="none"/>
          <w:lang w:val="en-US" w:eastAsia="zh-CN"/>
        </w:rPr>
        <w:t>当年</w:t>
      </w:r>
      <w:r>
        <w:rPr>
          <w:rFonts w:hint="eastAsia" w:ascii="仿宋" w:hAnsi="仿宋" w:eastAsia="仿宋" w:cs="仿宋"/>
          <w:color w:val="000000"/>
          <w:kern w:val="0"/>
          <w:sz w:val="32"/>
          <w:szCs w:val="32"/>
          <w:lang w:val="en-US" w:eastAsia="zh-CN"/>
        </w:rPr>
        <w:t>大豆生产者补贴同步测算发放。</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eastAsia"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val="en-US" w:eastAsia="zh-CN"/>
        </w:rPr>
        <w:t>（四）强化资金拨付。</w:t>
      </w:r>
      <w:r>
        <w:rPr>
          <w:rFonts w:hint="eastAsia" w:ascii="仿宋" w:hAnsi="仿宋" w:eastAsia="仿宋" w:cs="仿宋"/>
          <w:color w:val="000000"/>
          <w:kern w:val="0"/>
          <w:sz w:val="32"/>
          <w:szCs w:val="32"/>
          <w:lang w:val="en-US" w:eastAsia="zh-CN"/>
        </w:rPr>
        <w:t>要明确资金使用范围，严禁以拨代支、挤占挪用、虚报冒领。各县（区）农业农村局要根据项目实施进度和工作需要，及时向财政部门提交资金使用申请等正式手续。</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default" w:ascii="仿宋" w:hAnsi="仿宋" w:eastAsia="仿宋" w:cs="仿宋"/>
          <w:color w:val="000000"/>
          <w:kern w:val="0"/>
          <w:sz w:val="32"/>
          <w:szCs w:val="32"/>
          <w:lang w:val="en-US" w:eastAsia="zh-CN"/>
        </w:rPr>
      </w:pPr>
      <w:r>
        <w:rPr>
          <w:rFonts w:hint="eastAsia" w:ascii="楷体" w:hAnsi="楷体" w:eastAsia="楷体" w:cs="楷体"/>
          <w:color w:val="000000"/>
          <w:kern w:val="0"/>
          <w:sz w:val="32"/>
          <w:szCs w:val="32"/>
          <w:lang w:val="en-US" w:eastAsia="zh-CN"/>
        </w:rPr>
        <w:t>（五）强化项目管理</w:t>
      </w:r>
      <w:r>
        <w:rPr>
          <w:rFonts w:hint="default" w:ascii="仿宋" w:hAnsi="仿宋" w:eastAsia="仿宋" w:cs="仿宋"/>
          <w:color w:val="000000"/>
          <w:kern w:val="0"/>
          <w:sz w:val="32"/>
          <w:szCs w:val="32"/>
          <w:lang w:val="en-US" w:eastAsia="zh-CN"/>
        </w:rPr>
        <w:t>。</w:t>
      </w:r>
      <w:r>
        <w:rPr>
          <w:rFonts w:hint="eastAsia" w:ascii="仿宋" w:hAnsi="仿宋" w:eastAsia="仿宋" w:cs="仿宋"/>
          <w:color w:val="000000"/>
          <w:kern w:val="0"/>
          <w:sz w:val="32"/>
          <w:szCs w:val="32"/>
          <w:lang w:val="en-US" w:eastAsia="zh-CN"/>
        </w:rPr>
        <w:t>各</w:t>
      </w:r>
      <w:r>
        <w:rPr>
          <w:rFonts w:hint="default" w:ascii="仿宋" w:hAnsi="仿宋" w:eastAsia="仿宋" w:cs="仿宋"/>
          <w:color w:val="000000"/>
          <w:kern w:val="0"/>
          <w:sz w:val="32"/>
          <w:szCs w:val="32"/>
          <w:lang w:val="en-US" w:eastAsia="zh-CN"/>
        </w:rPr>
        <w:t>县</w:t>
      </w:r>
      <w:r>
        <w:rPr>
          <w:rFonts w:hint="eastAsia" w:ascii="仿宋" w:hAnsi="仿宋" w:eastAsia="仿宋" w:cs="仿宋"/>
          <w:color w:val="000000"/>
          <w:kern w:val="0"/>
          <w:sz w:val="32"/>
          <w:szCs w:val="32"/>
          <w:lang w:val="en-US" w:eastAsia="zh-CN"/>
        </w:rPr>
        <w:t>（区）</w:t>
      </w:r>
      <w:r>
        <w:rPr>
          <w:rFonts w:hint="default" w:ascii="仿宋" w:hAnsi="仿宋" w:eastAsia="仿宋" w:cs="仿宋"/>
          <w:color w:val="000000"/>
          <w:kern w:val="0"/>
          <w:sz w:val="32"/>
          <w:szCs w:val="32"/>
          <w:lang w:val="en-US" w:eastAsia="zh-CN"/>
        </w:rPr>
        <w:t>要加强</w:t>
      </w:r>
      <w:r>
        <w:rPr>
          <w:rFonts w:hint="eastAsia" w:ascii="仿宋" w:hAnsi="仿宋" w:eastAsia="仿宋" w:cs="仿宋"/>
          <w:color w:val="000000"/>
          <w:kern w:val="0"/>
          <w:sz w:val="32"/>
          <w:szCs w:val="32"/>
          <w:lang w:val="en-US" w:eastAsia="zh-CN"/>
        </w:rPr>
        <w:t>自评自查</w:t>
      </w:r>
      <w:r>
        <w:rPr>
          <w:rFonts w:hint="default" w:ascii="仿宋" w:hAnsi="仿宋" w:eastAsia="仿宋" w:cs="仿宋"/>
          <w:color w:val="000000"/>
          <w:kern w:val="0"/>
          <w:sz w:val="32"/>
          <w:szCs w:val="32"/>
          <w:lang w:val="en-US" w:eastAsia="zh-CN"/>
        </w:rPr>
        <w:t>，及时做好问题整改。要强化绩效管理，认真做好档案建设、成效调查、总结评价等工作。</w:t>
      </w:r>
      <w:r>
        <w:rPr>
          <w:rFonts w:hint="eastAsia" w:ascii="仿宋" w:hAnsi="仿宋" w:eastAsia="仿宋" w:cs="仿宋"/>
          <w:color w:val="000000"/>
          <w:kern w:val="0"/>
          <w:sz w:val="32"/>
          <w:szCs w:val="32"/>
          <w:lang w:val="en-US" w:eastAsia="zh-CN"/>
        </w:rPr>
        <w:t>各县（区）于</w:t>
      </w:r>
      <w:r>
        <w:rPr>
          <w:rFonts w:hint="default" w:ascii="仿宋" w:hAnsi="仿宋" w:eastAsia="仿宋" w:cs="仿宋"/>
          <w:color w:val="000000"/>
          <w:kern w:val="0"/>
          <w:sz w:val="32"/>
          <w:szCs w:val="32"/>
          <w:lang w:val="en-US" w:eastAsia="zh-CN"/>
        </w:rPr>
        <w:t>2026年12月5日前</w:t>
      </w:r>
      <w:r>
        <w:rPr>
          <w:rFonts w:hint="eastAsia" w:ascii="仿宋" w:hAnsi="仿宋" w:eastAsia="仿宋" w:cs="仿宋"/>
          <w:color w:val="000000"/>
          <w:kern w:val="0"/>
          <w:sz w:val="32"/>
          <w:szCs w:val="32"/>
          <w:lang w:val="en-US" w:eastAsia="zh-CN"/>
        </w:rPr>
        <w:t>向市级</w:t>
      </w:r>
      <w:r>
        <w:rPr>
          <w:rFonts w:hint="default" w:ascii="仿宋" w:hAnsi="仿宋" w:eastAsia="仿宋" w:cs="仿宋"/>
          <w:color w:val="000000"/>
          <w:kern w:val="0"/>
          <w:sz w:val="32"/>
          <w:szCs w:val="32"/>
          <w:lang w:val="en-US" w:eastAsia="zh-CN"/>
        </w:rPr>
        <w:t>上报工作总结，并附《优质大豆生产资金使用情况调度表》（附件4）。</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default" w:ascii="仿宋" w:hAnsi="仿宋" w:eastAsia="仿宋" w:cs="仿宋"/>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t>附件：1.辽宁省高油大豆品种名录</w:t>
      </w:r>
      <w:r>
        <w:rPr>
          <w:rFonts w:hint="eastAsia" w:ascii="仿宋" w:hAnsi="仿宋" w:eastAsia="仿宋" w:cs="仿宋"/>
          <w:color w:val="000000"/>
          <w:kern w:val="0"/>
          <w:sz w:val="32"/>
          <w:szCs w:val="32"/>
          <w:lang w:val="en-US" w:eastAsia="zh-CN"/>
        </w:rPr>
        <w:t>（2011-2026年）</w:t>
      </w:r>
    </w:p>
    <w:p>
      <w:pPr>
        <w:keepNext w:val="0"/>
        <w:keepLines w:val="0"/>
        <w:pageBreakBefore w:val="0"/>
        <w:widowControl w:val="0"/>
        <w:kinsoku/>
        <w:wordWrap/>
        <w:overflowPunct/>
        <w:topLinePunct w:val="0"/>
        <w:autoSpaceDE/>
        <w:autoSpaceDN/>
        <w:bidi w:val="0"/>
        <w:adjustRightInd/>
        <w:snapToGrid/>
        <w:ind w:firstLine="1705" w:firstLineChars="500"/>
        <w:textAlignment w:val="auto"/>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t>2.辽宁省高蛋白大豆品种名录</w:t>
      </w:r>
      <w:r>
        <w:rPr>
          <w:rFonts w:hint="eastAsia" w:ascii="仿宋" w:hAnsi="仿宋" w:eastAsia="仿宋" w:cs="仿宋"/>
          <w:color w:val="000000"/>
          <w:kern w:val="0"/>
          <w:sz w:val="32"/>
          <w:szCs w:val="32"/>
          <w:lang w:val="en-US" w:eastAsia="zh-CN"/>
        </w:rPr>
        <w:t>（2011-2026年）</w:t>
      </w:r>
    </w:p>
    <w:p>
      <w:pPr>
        <w:keepNext w:val="0"/>
        <w:keepLines w:val="0"/>
        <w:pageBreakBefore w:val="0"/>
        <w:widowControl w:val="0"/>
        <w:kinsoku/>
        <w:wordWrap/>
        <w:overflowPunct/>
        <w:topLinePunct w:val="0"/>
        <w:autoSpaceDE/>
        <w:autoSpaceDN/>
        <w:bidi w:val="0"/>
        <w:adjustRightInd/>
        <w:snapToGrid/>
        <w:ind w:firstLine="1705" w:firstLineChars="500"/>
        <w:textAlignment w:val="auto"/>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t>3.2026年优质大豆品种补贴申报及核实确认表</w:t>
      </w:r>
    </w:p>
    <w:p>
      <w:pPr>
        <w:keepNext w:val="0"/>
        <w:keepLines w:val="0"/>
        <w:pageBreakBefore w:val="0"/>
        <w:widowControl w:val="0"/>
        <w:kinsoku/>
        <w:wordWrap/>
        <w:overflowPunct/>
        <w:topLinePunct w:val="0"/>
        <w:autoSpaceDE/>
        <w:autoSpaceDN/>
        <w:bidi w:val="0"/>
        <w:adjustRightInd/>
        <w:snapToGrid/>
        <w:ind w:firstLine="1705" w:firstLineChars="500"/>
        <w:textAlignment w:val="auto"/>
        <w:rPr>
          <w:rFonts w:hint="default" w:ascii="仿宋" w:hAnsi="仿宋" w:eastAsia="仿宋" w:cs="仿宋"/>
          <w:color w:val="000000"/>
          <w:kern w:val="0"/>
          <w:sz w:val="32"/>
          <w:szCs w:val="32"/>
          <w:lang w:val="en-US" w:eastAsia="zh-CN"/>
        </w:rPr>
      </w:pPr>
      <w:r>
        <w:rPr>
          <w:rFonts w:hint="default" w:ascii="仿宋" w:hAnsi="仿宋" w:eastAsia="仿宋" w:cs="仿宋"/>
          <w:color w:val="000000"/>
          <w:kern w:val="0"/>
          <w:sz w:val="32"/>
          <w:szCs w:val="32"/>
          <w:lang w:val="en-US" w:eastAsia="zh-CN"/>
        </w:rPr>
        <w:t>4.优质大豆生产资金使用情况调度表</w:t>
      </w:r>
    </w:p>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default" w:ascii="仿宋" w:hAnsi="仿宋" w:eastAsia="仿宋" w:cs="仿宋"/>
          <w:color w:val="000000"/>
          <w:kern w:val="0"/>
          <w:sz w:val="32"/>
          <w:szCs w:val="32"/>
          <w:lang w:val="en-US" w:eastAsia="zh-CN"/>
        </w:rPr>
        <w:sectPr>
          <w:pgSz w:w="11850" w:h="16838"/>
          <w:pgMar w:top="2098" w:right="1474" w:bottom="1984" w:left="1587" w:header="851" w:footer="1417" w:gutter="0"/>
          <w:pgNumType w:fmt="decimal"/>
          <w:cols w:space="0" w:num="1"/>
          <w:rtlGutter w:val="0"/>
          <w:docGrid w:type="linesAndChars" w:linePitch="312" w:charSpace="4360"/>
        </w:sectPr>
      </w:pPr>
    </w:p>
    <w:p>
      <w:pPr>
        <w:widowControl/>
        <w:jc w:val="left"/>
        <w:rPr>
          <w:rFonts w:hint="eastAsia" w:ascii="黑体" w:hAnsi="黑体" w:eastAsia="黑体" w:cs="黑体"/>
          <w:sz w:val="32"/>
        </w:rPr>
      </w:pPr>
      <w:r>
        <w:rPr>
          <w:rFonts w:hint="eastAsia" w:ascii="黑体" w:hAnsi="黑体" w:eastAsia="黑体" w:cs="黑体"/>
          <w:sz w:val="32"/>
          <w:szCs w:val="32"/>
        </w:rPr>
        <w:t>附件1</w:t>
      </w:r>
    </w:p>
    <w:p>
      <w:pPr>
        <w:spacing w:line="500" w:lineRule="exact"/>
        <w:jc w:val="center"/>
        <w:rPr>
          <w:rFonts w:ascii="Times New Roman" w:hAnsi="Times New Roman" w:eastAsia="宋体" w:cs="Times New Roman"/>
          <w:b/>
          <w:sz w:val="44"/>
          <w:szCs w:val="44"/>
        </w:rPr>
      </w:pPr>
      <w:r>
        <w:rPr>
          <w:rFonts w:hint="eastAsia" w:ascii="Times New Roman" w:hAnsi="Times New Roman" w:eastAsia="宋体" w:cs="Times New Roman"/>
          <w:b/>
          <w:sz w:val="44"/>
          <w:szCs w:val="44"/>
        </w:rPr>
        <w:t>辽宁省高油大豆品种名录</w:t>
      </w:r>
    </w:p>
    <w:p>
      <w:pPr>
        <w:spacing w:line="500" w:lineRule="exact"/>
        <w:jc w:val="center"/>
        <w:rPr>
          <w:rFonts w:ascii="Times New Roman" w:hAnsi="Times New Roman" w:eastAsia="宋体" w:cs="Times New Roman"/>
          <w:b/>
          <w:sz w:val="30"/>
          <w:szCs w:val="30"/>
        </w:rPr>
      </w:pPr>
      <w:r>
        <w:rPr>
          <w:rFonts w:hint="eastAsia" w:ascii="Times New Roman" w:hAnsi="Times New Roman" w:eastAsia="宋体" w:cs="Times New Roman"/>
          <w:b/>
          <w:sz w:val="30"/>
          <w:szCs w:val="30"/>
        </w:rPr>
        <w:t>（2011-2026年）</w:t>
      </w:r>
    </w:p>
    <w:tbl>
      <w:tblPr>
        <w:tblStyle w:val="4"/>
        <w:tblW w:w="9498" w:type="dxa"/>
        <w:tblInd w:w="-176" w:type="dxa"/>
        <w:tblLayout w:type="fixed"/>
        <w:tblCellMar>
          <w:top w:w="0" w:type="dxa"/>
          <w:left w:w="108" w:type="dxa"/>
          <w:bottom w:w="0" w:type="dxa"/>
          <w:right w:w="108" w:type="dxa"/>
        </w:tblCellMar>
      </w:tblPr>
      <w:tblGrid>
        <w:gridCol w:w="710"/>
        <w:gridCol w:w="1701"/>
        <w:gridCol w:w="1559"/>
        <w:gridCol w:w="1276"/>
        <w:gridCol w:w="1275"/>
        <w:gridCol w:w="2977"/>
      </w:tblGrid>
      <w:tr>
        <w:tblPrEx>
          <w:tblCellMar>
            <w:top w:w="0" w:type="dxa"/>
            <w:left w:w="108" w:type="dxa"/>
            <w:bottom w:w="0" w:type="dxa"/>
            <w:right w:w="108" w:type="dxa"/>
          </w:tblCellMar>
        </w:tblPrEx>
        <w:trPr>
          <w:trHeight w:val="20" w:hRule="atLeast"/>
          <w:tblHeader/>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黑体" w:cs="Times New Roman"/>
                <w:color w:val="000000"/>
                <w:kern w:val="0"/>
                <w:sz w:val="24"/>
                <w:szCs w:val="24"/>
              </w:rPr>
            </w:pPr>
            <w:r>
              <w:rPr>
                <w:rFonts w:hint="eastAsia" w:ascii="Times New Roman" w:hAnsi="Times New Roman" w:eastAsia="黑体" w:cs="Times New Roman"/>
                <w:color w:val="000000"/>
                <w:kern w:val="0"/>
                <w:sz w:val="24"/>
                <w:szCs w:val="24"/>
              </w:rPr>
              <w:t>序号</w:t>
            </w:r>
          </w:p>
        </w:tc>
        <w:tc>
          <w:tcPr>
            <w:tcW w:w="1701" w:type="dxa"/>
            <w:tcBorders>
              <w:top w:val="single" w:color="auto" w:sz="4" w:space="0"/>
              <w:left w:val="nil"/>
              <w:bottom w:val="single" w:color="auto" w:sz="4" w:space="0"/>
              <w:right w:val="single" w:color="auto" w:sz="4" w:space="0"/>
            </w:tcBorders>
            <w:vAlign w:val="center"/>
          </w:tcPr>
          <w:p>
            <w:pPr>
              <w:widowControl/>
              <w:spacing w:line="340" w:lineRule="exact"/>
              <w:jc w:val="center"/>
              <w:rPr>
                <w:rFonts w:ascii="Times New Roman" w:hAnsi="Times New Roman" w:eastAsia="黑体" w:cs="Times New Roman"/>
                <w:color w:val="000000"/>
                <w:kern w:val="0"/>
                <w:sz w:val="24"/>
                <w:szCs w:val="24"/>
              </w:rPr>
            </w:pPr>
            <w:r>
              <w:rPr>
                <w:rFonts w:hint="eastAsia" w:ascii="Times New Roman" w:hAnsi="Times New Roman" w:eastAsia="黑体" w:cs="Times New Roman"/>
                <w:color w:val="000000"/>
                <w:kern w:val="0"/>
                <w:sz w:val="24"/>
                <w:szCs w:val="24"/>
              </w:rPr>
              <w:t>品种名称</w:t>
            </w:r>
          </w:p>
        </w:tc>
        <w:tc>
          <w:tcPr>
            <w:tcW w:w="1559" w:type="dxa"/>
            <w:tcBorders>
              <w:top w:val="single" w:color="auto" w:sz="4" w:space="0"/>
              <w:left w:val="nil"/>
              <w:bottom w:val="single" w:color="auto" w:sz="4" w:space="0"/>
              <w:right w:val="single" w:color="auto" w:sz="4" w:space="0"/>
            </w:tcBorders>
            <w:vAlign w:val="center"/>
          </w:tcPr>
          <w:p>
            <w:pPr>
              <w:widowControl/>
              <w:spacing w:line="34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脂肪含量</w:t>
            </w:r>
            <w:r>
              <w:rPr>
                <w:rFonts w:ascii="Times New Roman" w:hAnsi="Times New Roman" w:eastAsia="黑体" w:cs="Times New Roman"/>
                <w:color w:val="000000"/>
                <w:kern w:val="0"/>
                <w:sz w:val="24"/>
                <w:szCs w:val="24"/>
              </w:rPr>
              <w:br w:type="textWrapping"/>
            </w:r>
            <w:r>
              <w:rPr>
                <w:rFonts w:ascii="Times New Roman" w:hAnsi="Times New Roman" w:eastAsia="黑体" w:cs="Times New Roman"/>
                <w:color w:val="000000"/>
                <w:kern w:val="0"/>
                <w:sz w:val="24"/>
                <w:szCs w:val="24"/>
              </w:rPr>
              <w:t>(%</w:t>
            </w:r>
            <w:r>
              <w:rPr>
                <w:rFonts w:hint="eastAsia" w:ascii="Times New Roman" w:hAnsi="Times New Roman" w:eastAsia="黑体" w:cs="Times New Roman"/>
                <w:color w:val="000000"/>
                <w:kern w:val="0"/>
                <w:sz w:val="24"/>
                <w:szCs w:val="24"/>
              </w:rPr>
              <w:t>，≥</w:t>
            </w:r>
            <w:r>
              <w:rPr>
                <w:rFonts w:ascii="Times New Roman" w:hAnsi="Times New Roman" w:eastAsia="黑体" w:cs="Times New Roman"/>
                <w:color w:val="000000"/>
                <w:kern w:val="0"/>
                <w:sz w:val="24"/>
                <w:szCs w:val="24"/>
              </w:rPr>
              <w:t>21.5)</w:t>
            </w:r>
          </w:p>
        </w:tc>
        <w:tc>
          <w:tcPr>
            <w:tcW w:w="1276" w:type="dxa"/>
            <w:tcBorders>
              <w:top w:val="single" w:color="auto" w:sz="4" w:space="0"/>
              <w:left w:val="nil"/>
              <w:bottom w:val="single" w:color="auto" w:sz="4" w:space="0"/>
              <w:right w:val="single" w:color="auto" w:sz="4" w:space="0"/>
            </w:tcBorders>
            <w:vAlign w:val="center"/>
          </w:tcPr>
          <w:p>
            <w:pPr>
              <w:widowControl/>
              <w:spacing w:line="34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审定</w:t>
            </w:r>
            <w:r>
              <w:rPr>
                <w:rFonts w:ascii="Times New Roman" w:hAnsi="Times New Roman" w:eastAsia="黑体" w:cs="Times New Roman"/>
                <w:color w:val="000000"/>
                <w:kern w:val="0"/>
                <w:sz w:val="24"/>
                <w:szCs w:val="24"/>
              </w:rPr>
              <w:br w:type="textWrapping"/>
            </w:r>
            <w:r>
              <w:rPr>
                <w:rFonts w:hint="eastAsia" w:ascii="Times New Roman" w:hAnsi="Times New Roman" w:eastAsia="黑体" w:cs="宋体"/>
                <w:color w:val="000000"/>
                <w:kern w:val="0"/>
                <w:sz w:val="24"/>
                <w:szCs w:val="24"/>
              </w:rPr>
              <w:t>时间</w:t>
            </w:r>
          </w:p>
        </w:tc>
        <w:tc>
          <w:tcPr>
            <w:tcW w:w="1275" w:type="dxa"/>
            <w:tcBorders>
              <w:top w:val="single" w:color="auto" w:sz="4" w:space="0"/>
              <w:left w:val="nil"/>
              <w:bottom w:val="single" w:color="auto" w:sz="4" w:space="0"/>
              <w:right w:val="single" w:color="auto" w:sz="4" w:space="0"/>
            </w:tcBorders>
            <w:vAlign w:val="center"/>
          </w:tcPr>
          <w:p>
            <w:pPr>
              <w:widowControl/>
              <w:spacing w:line="340" w:lineRule="exact"/>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审定</w:t>
            </w:r>
            <w:r>
              <w:rPr>
                <w:rFonts w:hint="eastAsia" w:ascii="Times New Roman" w:hAnsi="Times New Roman" w:eastAsia="黑体" w:cs="宋体"/>
                <w:color w:val="000000"/>
                <w:kern w:val="0"/>
                <w:sz w:val="24"/>
                <w:szCs w:val="24"/>
              </w:rPr>
              <w:br w:type="textWrapping"/>
            </w:r>
            <w:r>
              <w:rPr>
                <w:rFonts w:hint="eastAsia" w:ascii="Times New Roman" w:hAnsi="Times New Roman" w:eastAsia="黑体" w:cs="宋体"/>
                <w:color w:val="000000"/>
                <w:kern w:val="0"/>
                <w:sz w:val="24"/>
                <w:szCs w:val="24"/>
              </w:rPr>
              <w:t>类别</w:t>
            </w:r>
          </w:p>
        </w:tc>
        <w:tc>
          <w:tcPr>
            <w:tcW w:w="2977" w:type="dxa"/>
            <w:tcBorders>
              <w:top w:val="single" w:color="auto" w:sz="4" w:space="0"/>
              <w:left w:val="nil"/>
              <w:bottom w:val="single" w:color="auto" w:sz="4" w:space="0"/>
              <w:right w:val="single" w:color="auto" w:sz="4" w:space="0"/>
            </w:tcBorders>
            <w:vAlign w:val="center"/>
          </w:tcPr>
          <w:p>
            <w:pPr>
              <w:widowControl/>
              <w:spacing w:line="340" w:lineRule="exact"/>
              <w:jc w:val="center"/>
              <w:rPr>
                <w:rFonts w:ascii="Times New Roman" w:hAnsi="Times New Roman" w:eastAsia="黑体" w:cs="Times New Roman"/>
                <w:color w:val="000000"/>
                <w:kern w:val="0"/>
                <w:sz w:val="24"/>
                <w:szCs w:val="24"/>
              </w:rPr>
            </w:pPr>
            <w:r>
              <w:rPr>
                <w:rFonts w:hint="eastAsia" w:ascii="Times New Roman" w:hAnsi="Times New Roman" w:eastAsia="黑体" w:cs="Times New Roman"/>
                <w:color w:val="000000"/>
                <w:kern w:val="0"/>
                <w:sz w:val="24"/>
                <w:szCs w:val="24"/>
              </w:rPr>
              <w:t>选育单位</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东豆</w:t>
            </w:r>
            <w:r>
              <w:rPr>
                <w:rFonts w:ascii="Times New Roman" w:hAnsi="Times New Roman" w:eastAsia="宋体" w:cs="Times New Roman"/>
                <w:color w:val="000000"/>
                <w:kern w:val="0"/>
                <w:sz w:val="24"/>
                <w:szCs w:val="24"/>
              </w:rPr>
              <w:t>16</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22.65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辽宁东亚种业有限公司</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22</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21.94</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59</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21.57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60</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22.31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63</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w:t>
            </w:r>
            <w:r>
              <w:rPr>
                <w:rFonts w:hint="eastAsia" w:ascii="Times New Roman" w:hAnsi="Times New Roman" w:eastAsia="宋体" w:cs="Times New Roman"/>
                <w:color w:val="000000"/>
                <w:kern w:val="0"/>
                <w:sz w:val="24"/>
                <w:szCs w:val="24"/>
              </w:rPr>
              <w:t>.00</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32</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22.88</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22.01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23</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23.74</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沈农</w:t>
            </w:r>
            <w:r>
              <w:rPr>
                <w:rFonts w:ascii="Times New Roman" w:hAnsi="Times New Roman" w:eastAsia="宋体" w:cs="Times New Roman"/>
                <w:color w:val="000000"/>
                <w:kern w:val="0"/>
                <w:sz w:val="24"/>
                <w:szCs w:val="24"/>
              </w:rPr>
              <w:t>18</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21.85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沈阳农业大学大豆研究所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66</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22.56</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67</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22.48</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22.06</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2012</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东豆</w:t>
            </w:r>
            <w:r>
              <w:rPr>
                <w:rFonts w:ascii="Times New Roman" w:hAnsi="Times New Roman" w:eastAsia="宋体" w:cs="Times New Roman"/>
                <w:color w:val="000000"/>
                <w:kern w:val="0"/>
                <w:sz w:val="24"/>
                <w:szCs w:val="24"/>
              </w:rPr>
              <w:t>641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22.73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辽宁东亚种业有限公司</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38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22.47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铁豆</w:t>
            </w:r>
            <w:r>
              <w:rPr>
                <w:rFonts w:ascii="Times New Roman" w:hAnsi="Times New Roman" w:eastAsia="仿宋" w:cs="Times New Roman"/>
                <w:color w:val="000000"/>
                <w:kern w:val="0"/>
                <w:sz w:val="24"/>
                <w:szCs w:val="24"/>
              </w:rPr>
              <w:t>62</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23.22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68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22.13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灯豆</w:t>
            </w:r>
            <w:r>
              <w:rPr>
                <w:rFonts w:ascii="Times New Roman" w:hAnsi="Times New Roman" w:eastAsia="宋体" w:cs="Times New Roman"/>
                <w:color w:val="000000"/>
                <w:kern w:val="0"/>
                <w:sz w:val="24"/>
                <w:szCs w:val="24"/>
              </w:rPr>
              <w:t>1</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21.92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灯塔市明辉良种研发中心</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沈农豆</w:t>
            </w:r>
            <w:r>
              <w:rPr>
                <w:rFonts w:ascii="Times New Roman" w:hAnsi="Times New Roman" w:eastAsia="宋体" w:cs="Times New Roman"/>
                <w:color w:val="000000"/>
                <w:kern w:val="0"/>
                <w:sz w:val="24"/>
                <w:szCs w:val="24"/>
              </w:rPr>
              <w:t>19</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22.35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沈阳农业大学大豆研究所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沈农豆</w:t>
            </w:r>
            <w:r>
              <w:rPr>
                <w:rFonts w:ascii="Times New Roman" w:hAnsi="Times New Roman" w:eastAsia="宋体" w:cs="Times New Roman"/>
                <w:color w:val="000000"/>
                <w:kern w:val="0"/>
                <w:sz w:val="24"/>
                <w:szCs w:val="24"/>
              </w:rPr>
              <w:t>20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22.29</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沈阳农业大学大豆研究所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74</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22.02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26</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21.83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46</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22.52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27</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22.21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28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22.53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49</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52</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21.59</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82</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21.84</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84</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21.92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86</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新豆</w:t>
            </w:r>
            <w:r>
              <w:rPr>
                <w:rFonts w:ascii="Times New Roman" w:hAnsi="Times New Roman" w:eastAsia="宋体" w:cs="Times New Roman"/>
                <w:color w:val="000000"/>
                <w:kern w:val="0"/>
                <w:sz w:val="24"/>
                <w:szCs w:val="24"/>
              </w:rPr>
              <w:t>2</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23.13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新宾满族自治县农业科学研究所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29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50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22.64</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22.57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0</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连豆</w:t>
            </w:r>
            <w:r>
              <w:rPr>
                <w:rFonts w:ascii="Times New Roman" w:hAnsi="Times New Roman" w:eastAsia="宋体" w:cs="Times New Roman"/>
                <w:color w:val="000000"/>
                <w:kern w:val="0"/>
                <w:sz w:val="24"/>
                <w:szCs w:val="24"/>
              </w:rPr>
              <w:t>18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21.55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63</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21.97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92</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21.79</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98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21.92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57</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22.04</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21.57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96</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22.34</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21.94</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97</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21.81</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23.90</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r>
              <w:rPr>
                <w:rFonts w:hint="eastAsia" w:ascii="Times New Roman" w:hAnsi="Times New Roman" w:eastAsia="方正书宋_GBK" w:cs="Times New Roman"/>
                <w:color w:val="000000"/>
                <w:kern w:val="0"/>
                <w:sz w:val="24"/>
                <w:szCs w:val="24"/>
              </w:rPr>
              <w:t>、</w:t>
            </w: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29</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21.58</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2019</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r>
              <w:rPr>
                <w:rFonts w:hint="eastAsia" w:ascii="Times New Roman" w:hAnsi="Times New Roman" w:eastAsia="宋体" w:cs="Times New Roman"/>
                <w:color w:val="000000"/>
                <w:kern w:val="0"/>
                <w:sz w:val="24"/>
                <w:szCs w:val="24"/>
              </w:rPr>
              <w:t>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30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21.82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2019</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39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31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22.87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2020</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0</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75</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2020</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丹豆</w:t>
            </w:r>
            <w:r>
              <w:rPr>
                <w:rFonts w:ascii="Times New Roman" w:hAnsi="Times New Roman" w:eastAsia="宋体" w:cs="Times New Roman"/>
                <w:color w:val="000000"/>
                <w:kern w:val="0"/>
                <w:sz w:val="24"/>
                <w:szCs w:val="24"/>
              </w:rPr>
              <w:t>23</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22.55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丹东农业科学院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富豆</w:t>
            </w:r>
            <w:r>
              <w:rPr>
                <w:rFonts w:ascii="Times New Roman" w:hAnsi="Times New Roman" w:eastAsia="宋体" w:cs="Times New Roman"/>
                <w:color w:val="000000"/>
                <w:kern w:val="0"/>
                <w:sz w:val="24"/>
                <w:szCs w:val="24"/>
              </w:rPr>
              <w:t>18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22.99</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齐齐哈尔市富尔农艺有限公司</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61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22.77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44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辽职豆</w:t>
            </w:r>
            <w:r>
              <w:rPr>
                <w:rFonts w:ascii="Times New Roman" w:hAnsi="Times New Roman" w:eastAsia="宋体" w:cs="Times New Roman"/>
                <w:color w:val="000000"/>
                <w:kern w:val="0"/>
                <w:sz w:val="24"/>
                <w:szCs w:val="24"/>
              </w:rPr>
              <w:t>2</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辽宁职业学院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101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21.89</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铁豆</w:t>
            </w:r>
            <w:r>
              <w:rPr>
                <w:rFonts w:ascii="Times New Roman" w:hAnsi="Times New Roman" w:eastAsia="仿宋" w:cs="Times New Roman"/>
                <w:color w:val="000000"/>
                <w:kern w:val="0"/>
                <w:sz w:val="24"/>
                <w:szCs w:val="24"/>
              </w:rPr>
              <w:t>53</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22.22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2021</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抚豆</w:t>
            </w:r>
            <w:r>
              <w:rPr>
                <w:rFonts w:ascii="Times New Roman" w:hAnsi="Times New Roman" w:eastAsia="宋体" w:cs="Times New Roman"/>
                <w:color w:val="000000"/>
                <w:kern w:val="0"/>
                <w:sz w:val="24"/>
                <w:szCs w:val="24"/>
              </w:rPr>
              <w:t>34</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22.74</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抚顺市农业科学研究院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r>
              <w:rPr>
                <w:rFonts w:hint="eastAsia" w:ascii="Times New Roman" w:hAnsi="Times New Roman" w:eastAsia="宋体" w:cs="Times New Roman"/>
                <w:color w:val="000000"/>
                <w:kern w:val="0"/>
                <w:sz w:val="24"/>
                <w:szCs w:val="24"/>
              </w:rPr>
              <w:t>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锦育豆</w:t>
            </w:r>
            <w:r>
              <w:rPr>
                <w:rFonts w:ascii="Times New Roman" w:hAnsi="Times New Roman" w:eastAsia="宋体" w:cs="Times New Roman"/>
                <w:color w:val="000000"/>
                <w:kern w:val="0"/>
                <w:sz w:val="24"/>
                <w:szCs w:val="24"/>
              </w:rPr>
              <w:t>40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22.71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锦州市科学技术研究院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49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78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21.61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0</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83</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21.93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116</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21.53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121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21.78</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东豆</w:t>
            </w:r>
            <w:r>
              <w:rPr>
                <w:rFonts w:ascii="Times New Roman" w:hAnsi="Times New Roman" w:eastAsia="宋体" w:cs="Times New Roman"/>
                <w:color w:val="000000"/>
                <w:kern w:val="0"/>
                <w:sz w:val="24"/>
                <w:szCs w:val="24"/>
              </w:rPr>
              <w:t>67</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22.68</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辽宁东亚种业有限公司</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兰豆</w:t>
            </w:r>
            <w:r>
              <w:rPr>
                <w:rFonts w:ascii="Times New Roman" w:hAnsi="Times New Roman" w:eastAsia="宋体" w:cs="Times New Roman"/>
                <w:color w:val="000000"/>
                <w:kern w:val="0"/>
                <w:sz w:val="24"/>
                <w:szCs w:val="24"/>
              </w:rPr>
              <w:t>99</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22.83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81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22.97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86</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23.23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88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22.3</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r>
              <w:rPr>
                <w:rFonts w:hint="eastAsia" w:ascii="Times New Roman" w:hAnsi="Times New Roman" w:eastAsia="宋体" w:cs="Times New Roman"/>
                <w:color w:val="000000"/>
                <w:kern w:val="0"/>
                <w:sz w:val="24"/>
                <w:szCs w:val="24"/>
              </w:rPr>
              <w:t>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69</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21.74</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59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沈农豆</w:t>
            </w:r>
            <w:r>
              <w:rPr>
                <w:rFonts w:ascii="Times New Roman" w:hAnsi="Times New Roman" w:eastAsia="宋体" w:cs="Times New Roman"/>
                <w:color w:val="000000"/>
                <w:kern w:val="0"/>
                <w:sz w:val="24"/>
                <w:szCs w:val="24"/>
              </w:rPr>
              <w:t>38</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22.01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沈阳农业大学大豆研究所</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0</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120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22.71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1</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102</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22.11</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2</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110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22.79</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3</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希豆</w:t>
            </w:r>
            <w:r>
              <w:rPr>
                <w:rFonts w:ascii="Times New Roman" w:hAnsi="Times New Roman" w:eastAsia="宋体" w:cs="Times New Roman"/>
                <w:color w:val="000000"/>
                <w:kern w:val="0"/>
                <w:sz w:val="24"/>
                <w:szCs w:val="24"/>
              </w:rPr>
              <w:t>9</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23.18</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4</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建华豆</w:t>
            </w:r>
            <w:r>
              <w:rPr>
                <w:rFonts w:ascii="Times New Roman" w:hAnsi="Times New Roman" w:eastAsia="宋体" w:cs="Times New Roman"/>
                <w:color w:val="000000"/>
                <w:kern w:val="0"/>
                <w:sz w:val="24"/>
                <w:szCs w:val="24"/>
              </w:rPr>
              <w:t>111</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22.27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辽宁建华种业有限公司</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5</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90</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22.85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r>
              <w:rPr>
                <w:rFonts w:hint="eastAsia" w:ascii="Times New Roman" w:hAnsi="Times New Roman" w:eastAsia="宋体" w:cs="Times New Roman"/>
                <w:color w:val="000000"/>
                <w:kern w:val="0"/>
                <w:sz w:val="24"/>
                <w:szCs w:val="24"/>
              </w:rPr>
              <w:t>6</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94</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22.17</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宋体"/>
                <w:color w:val="000000"/>
                <w:kern w:val="0"/>
                <w:sz w:val="24"/>
                <w:szCs w:val="24"/>
              </w:rPr>
            </w:pPr>
            <w:r>
              <w:rPr>
                <w:rFonts w:hint="eastAsia" w:ascii="Times New Roman" w:hAnsi="Times New Roman" w:eastAsia="仿宋" w:cs="宋体"/>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31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67</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农职豆2号</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24.15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辽宁农业职业技术学院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68</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铁豆133</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21.92</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nil"/>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69</w:t>
            </w:r>
          </w:p>
        </w:tc>
        <w:tc>
          <w:tcPr>
            <w:tcW w:w="1701"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铁豆134</w:t>
            </w:r>
          </w:p>
        </w:tc>
        <w:tc>
          <w:tcPr>
            <w:tcW w:w="1559"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21.95</w:t>
            </w:r>
          </w:p>
        </w:tc>
        <w:tc>
          <w:tcPr>
            <w:tcW w:w="1276"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2024</w:t>
            </w:r>
          </w:p>
        </w:tc>
        <w:tc>
          <w:tcPr>
            <w:tcW w:w="1275"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70</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铁豆138</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22.65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2024</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71</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铁豆124</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23.16</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国审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72</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铁豆137</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23.88</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73</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中黄655</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22.26</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中国农业科学院作物科学研究所、辽宁省农业科学院作物研究所</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74</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辽豆101</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22.94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75</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铁豆149</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23.12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76</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丹豆26</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22.85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丹东农业科学院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77</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铁豆140</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23.67</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78</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沈农豆44</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23.16</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沈阳农业大学</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79</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辽豆103</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22.52</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2025</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000000"/>
                <w:kern w:val="0"/>
                <w:sz w:val="24"/>
                <w:szCs w:val="24"/>
              </w:rPr>
            </w:pPr>
            <w:r>
              <w:rPr>
                <w:rFonts w:hint="eastAsia" w:ascii="Times New Roman" w:hAnsi="Times New Roman" w:eastAsia="仿宋" w:cs="Times New Roman"/>
                <w:color w:val="000000"/>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80</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铁豆144</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22.21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81</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铁豆154</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23.23</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82</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盛豆1号</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24.07</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辽宁盛新种子有限公司</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83</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铁豆152</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23.40</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84</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铁豆142</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22.95</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铁岭市农业科学院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85</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辽豆110</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23.04</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辽宁省农业科学院</w:t>
            </w:r>
          </w:p>
        </w:tc>
      </w:tr>
      <w:tr>
        <w:tblPrEx>
          <w:tblCellMar>
            <w:top w:w="0" w:type="dxa"/>
            <w:left w:w="108" w:type="dxa"/>
            <w:bottom w:w="0" w:type="dxa"/>
            <w:right w:w="108" w:type="dxa"/>
          </w:tblCellMar>
        </w:tblPrEx>
        <w:trPr>
          <w:trHeight w:val="20" w:hRule="atLeast"/>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86</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丹豆29</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ascii="Times New Roman" w:hAnsi="Times New Roman" w:eastAsia="仿宋" w:cs="Times New Roman"/>
                <w:color w:val="121212"/>
                <w:kern w:val="0"/>
                <w:sz w:val="24"/>
                <w:szCs w:val="24"/>
              </w:rPr>
              <w:t>22.11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40" w:lineRule="exact"/>
              <w:jc w:val="center"/>
              <w:rPr>
                <w:rFonts w:ascii="Times New Roman" w:hAnsi="Times New Roman" w:eastAsia="仿宋" w:cs="Times New Roman"/>
                <w:color w:val="121212"/>
                <w:kern w:val="0"/>
                <w:sz w:val="24"/>
                <w:szCs w:val="24"/>
              </w:rPr>
            </w:pPr>
            <w:r>
              <w:rPr>
                <w:rFonts w:hint="eastAsia" w:ascii="Times New Roman" w:hAnsi="Times New Roman" w:eastAsia="仿宋" w:cs="Times New Roman"/>
                <w:color w:val="121212"/>
                <w:kern w:val="0"/>
                <w:sz w:val="24"/>
                <w:szCs w:val="24"/>
              </w:rPr>
              <w:t>丹东农业科学院</w:t>
            </w:r>
          </w:p>
        </w:tc>
      </w:tr>
    </w:tbl>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default" w:ascii="仿宋" w:hAnsi="仿宋" w:eastAsia="仿宋" w:cs="仿宋"/>
          <w:color w:val="000000"/>
          <w:kern w:val="0"/>
          <w:sz w:val="32"/>
          <w:szCs w:val="32"/>
          <w:lang w:val="en-US" w:eastAsia="zh-CN"/>
        </w:rPr>
        <w:sectPr>
          <w:pgSz w:w="11850" w:h="16838"/>
          <w:pgMar w:top="1701" w:right="1417" w:bottom="1984" w:left="1417" w:header="851" w:footer="1417" w:gutter="0"/>
          <w:pgNumType w:fmt="decimal"/>
          <w:cols w:space="0" w:num="1"/>
          <w:rtlGutter w:val="0"/>
          <w:docGrid w:type="linesAndChars" w:linePitch="312" w:charSpace="4360"/>
        </w:sectPr>
      </w:pPr>
    </w:p>
    <w:p>
      <w:pPr>
        <w:spacing w:line="540" w:lineRule="exact"/>
        <w:rPr>
          <w:rFonts w:hint="eastAsia" w:ascii="黑体" w:hAnsi="黑体" w:eastAsia="黑体" w:cs="黑体"/>
          <w:sz w:val="32"/>
          <w:szCs w:val="32"/>
        </w:rPr>
      </w:pPr>
      <w:r>
        <w:rPr>
          <w:rFonts w:hint="eastAsia" w:ascii="黑体" w:hAnsi="黑体" w:eastAsia="黑体" w:cs="黑体"/>
          <w:sz w:val="32"/>
          <w:szCs w:val="32"/>
        </w:rPr>
        <w:t>附件2</w:t>
      </w:r>
    </w:p>
    <w:p>
      <w:pPr>
        <w:spacing w:line="560" w:lineRule="exact"/>
        <w:jc w:val="center"/>
        <w:rPr>
          <w:rFonts w:ascii="Times New Roman" w:hAnsi="Times New Roman" w:eastAsia="宋体" w:cs="Times New Roman"/>
          <w:b/>
          <w:sz w:val="44"/>
          <w:szCs w:val="44"/>
        </w:rPr>
      </w:pPr>
      <w:r>
        <w:rPr>
          <w:rFonts w:hint="eastAsia" w:ascii="Times New Roman" w:hAnsi="Times New Roman" w:eastAsia="宋体" w:cs="Times New Roman"/>
          <w:b/>
          <w:sz w:val="44"/>
          <w:szCs w:val="44"/>
        </w:rPr>
        <w:t>辽宁省高蛋白大豆品种名录</w:t>
      </w:r>
    </w:p>
    <w:p>
      <w:pPr>
        <w:spacing w:line="560" w:lineRule="exact"/>
        <w:jc w:val="center"/>
        <w:rPr>
          <w:rFonts w:ascii="Times New Roman" w:hAnsi="Times New Roman" w:eastAsia="宋体" w:cs="Times New Roman"/>
          <w:b/>
          <w:sz w:val="30"/>
          <w:szCs w:val="30"/>
        </w:rPr>
      </w:pPr>
      <w:r>
        <w:rPr>
          <w:rFonts w:hint="eastAsia" w:ascii="Times New Roman" w:hAnsi="Times New Roman" w:eastAsia="宋体" w:cs="Times New Roman"/>
          <w:b/>
          <w:sz w:val="30"/>
          <w:szCs w:val="30"/>
        </w:rPr>
        <w:t>（2011-2026年）</w:t>
      </w:r>
    </w:p>
    <w:tbl>
      <w:tblPr>
        <w:tblStyle w:val="4"/>
        <w:tblW w:w="9498" w:type="dxa"/>
        <w:tblInd w:w="-176" w:type="dxa"/>
        <w:tblLayout w:type="fixed"/>
        <w:tblCellMar>
          <w:top w:w="0" w:type="dxa"/>
          <w:left w:w="108" w:type="dxa"/>
          <w:bottom w:w="0" w:type="dxa"/>
          <w:right w:w="108" w:type="dxa"/>
        </w:tblCellMar>
      </w:tblPr>
      <w:tblGrid>
        <w:gridCol w:w="710"/>
        <w:gridCol w:w="1701"/>
        <w:gridCol w:w="1559"/>
        <w:gridCol w:w="1276"/>
        <w:gridCol w:w="1275"/>
        <w:gridCol w:w="2977"/>
      </w:tblGrid>
      <w:tr>
        <w:tblPrEx>
          <w:tblCellMar>
            <w:top w:w="0" w:type="dxa"/>
            <w:left w:w="108" w:type="dxa"/>
            <w:bottom w:w="0" w:type="dxa"/>
            <w:right w:w="108" w:type="dxa"/>
          </w:tblCellMar>
        </w:tblPrEx>
        <w:trPr>
          <w:tblHeader/>
        </w:trP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黑体" w:cs="Times New Roman"/>
                <w:color w:val="000000"/>
                <w:kern w:val="0"/>
                <w:sz w:val="24"/>
                <w:szCs w:val="24"/>
              </w:rPr>
            </w:pPr>
            <w:r>
              <w:rPr>
                <w:rFonts w:hint="eastAsia" w:ascii="Times New Roman" w:hAnsi="Times New Roman" w:eastAsia="黑体" w:cs="Times New Roman"/>
                <w:color w:val="000000"/>
                <w:kern w:val="0"/>
                <w:sz w:val="24"/>
                <w:szCs w:val="24"/>
              </w:rPr>
              <w:t>序号</w:t>
            </w:r>
          </w:p>
        </w:tc>
        <w:tc>
          <w:tcPr>
            <w:tcW w:w="170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ascii="Times New Roman" w:hAnsi="Times New Roman" w:eastAsia="黑体" w:cs="Times New Roman"/>
                <w:color w:val="000000"/>
                <w:kern w:val="0"/>
                <w:sz w:val="24"/>
                <w:szCs w:val="24"/>
              </w:rPr>
            </w:pPr>
            <w:r>
              <w:rPr>
                <w:rFonts w:hint="eastAsia" w:ascii="Times New Roman" w:hAnsi="Times New Roman" w:eastAsia="黑体" w:cs="Times New Roman"/>
                <w:color w:val="000000"/>
                <w:kern w:val="0"/>
                <w:sz w:val="24"/>
                <w:szCs w:val="24"/>
              </w:rPr>
              <w:t>品种名称</w:t>
            </w:r>
          </w:p>
        </w:tc>
        <w:tc>
          <w:tcPr>
            <w:tcW w:w="1559" w:type="dxa"/>
            <w:tcBorders>
              <w:top w:val="single" w:color="auto" w:sz="4" w:space="0"/>
              <w:left w:val="nil"/>
              <w:bottom w:val="single" w:color="auto" w:sz="4" w:space="0"/>
              <w:right w:val="single" w:color="auto" w:sz="4" w:space="0"/>
            </w:tcBorders>
            <w:vAlign w:val="center"/>
          </w:tcPr>
          <w:p>
            <w:pPr>
              <w:widowControl/>
              <w:spacing w:line="300" w:lineRule="auto"/>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蛋白含量</w:t>
            </w:r>
            <w:r>
              <w:rPr>
                <w:rFonts w:ascii="Times New Roman" w:hAnsi="Times New Roman" w:eastAsia="黑体" w:cs="Times New Roman"/>
                <w:color w:val="000000"/>
                <w:kern w:val="0"/>
                <w:sz w:val="24"/>
                <w:szCs w:val="24"/>
              </w:rPr>
              <w:br w:type="textWrapping"/>
            </w:r>
            <w:r>
              <w:rPr>
                <w:rFonts w:hint="eastAsia" w:ascii="Times New Roman" w:hAnsi="Times New Roman" w:eastAsia="黑体" w:cs="宋体"/>
                <w:color w:val="000000"/>
                <w:kern w:val="0"/>
                <w:sz w:val="24"/>
                <w:szCs w:val="24"/>
              </w:rPr>
              <w:t>(</w:t>
            </w:r>
            <w:r>
              <w:rPr>
                <w:rFonts w:ascii="Times New Roman" w:hAnsi="Times New Roman" w:eastAsia="黑体" w:cs="Times New Roman"/>
                <w:color w:val="000000"/>
                <w:kern w:val="0"/>
                <w:sz w:val="24"/>
                <w:szCs w:val="24"/>
              </w:rPr>
              <w:t>%</w:t>
            </w:r>
            <w:r>
              <w:rPr>
                <w:rFonts w:hint="eastAsia" w:ascii="Times New Roman" w:hAnsi="Times New Roman" w:eastAsia="黑体" w:cs="Times New Roman"/>
                <w:color w:val="000000"/>
                <w:kern w:val="0"/>
                <w:sz w:val="24"/>
                <w:szCs w:val="24"/>
              </w:rPr>
              <w:t>，≥</w:t>
            </w:r>
            <w:r>
              <w:rPr>
                <w:rFonts w:ascii="Times New Roman" w:hAnsi="Times New Roman" w:eastAsia="黑体" w:cs="Times New Roman"/>
                <w:color w:val="000000"/>
                <w:kern w:val="0"/>
                <w:sz w:val="24"/>
                <w:szCs w:val="24"/>
              </w:rPr>
              <w:t>43.0</w:t>
            </w:r>
            <w:r>
              <w:rPr>
                <w:rFonts w:hint="eastAsia" w:ascii="Times New Roman" w:hAnsi="Times New Roman" w:eastAsia="黑体" w:cs="宋体"/>
                <w:color w:val="000000"/>
                <w:kern w:val="0"/>
                <w:sz w:val="24"/>
                <w:szCs w:val="24"/>
              </w:rPr>
              <w:t>)</w:t>
            </w:r>
          </w:p>
        </w:tc>
        <w:tc>
          <w:tcPr>
            <w:tcW w:w="1276" w:type="dxa"/>
            <w:tcBorders>
              <w:top w:val="single" w:color="auto" w:sz="4" w:space="0"/>
              <w:left w:val="nil"/>
              <w:bottom w:val="single" w:color="auto" w:sz="4" w:space="0"/>
              <w:right w:val="single" w:color="auto" w:sz="4" w:space="0"/>
            </w:tcBorders>
            <w:vAlign w:val="center"/>
          </w:tcPr>
          <w:p>
            <w:pPr>
              <w:widowControl/>
              <w:spacing w:line="300" w:lineRule="auto"/>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审定</w:t>
            </w:r>
            <w:r>
              <w:rPr>
                <w:rFonts w:ascii="Times New Roman" w:hAnsi="Times New Roman" w:eastAsia="黑体" w:cs="Times New Roman"/>
                <w:color w:val="000000"/>
                <w:kern w:val="0"/>
                <w:sz w:val="24"/>
                <w:szCs w:val="24"/>
              </w:rPr>
              <w:br w:type="textWrapping"/>
            </w:r>
            <w:r>
              <w:rPr>
                <w:rFonts w:hint="eastAsia" w:ascii="Times New Roman" w:hAnsi="Times New Roman" w:eastAsia="黑体" w:cs="宋体"/>
                <w:color w:val="000000"/>
                <w:kern w:val="0"/>
                <w:sz w:val="24"/>
                <w:szCs w:val="24"/>
              </w:rPr>
              <w:t>时间</w:t>
            </w:r>
          </w:p>
        </w:tc>
        <w:tc>
          <w:tcPr>
            <w:tcW w:w="1275" w:type="dxa"/>
            <w:tcBorders>
              <w:top w:val="single" w:color="auto" w:sz="4" w:space="0"/>
              <w:left w:val="nil"/>
              <w:bottom w:val="single" w:color="auto" w:sz="4" w:space="0"/>
              <w:right w:val="single" w:color="auto" w:sz="4" w:space="0"/>
            </w:tcBorders>
            <w:vAlign w:val="center"/>
          </w:tcPr>
          <w:p>
            <w:pPr>
              <w:widowControl/>
              <w:spacing w:line="300" w:lineRule="auto"/>
              <w:jc w:val="center"/>
              <w:rPr>
                <w:rFonts w:ascii="Times New Roman" w:hAnsi="Times New Roman" w:eastAsia="黑体" w:cs="宋体"/>
                <w:color w:val="000000"/>
                <w:kern w:val="0"/>
                <w:sz w:val="24"/>
                <w:szCs w:val="24"/>
              </w:rPr>
            </w:pPr>
            <w:r>
              <w:rPr>
                <w:rFonts w:hint="eastAsia" w:ascii="Times New Roman" w:hAnsi="Times New Roman" w:eastAsia="黑体" w:cs="宋体"/>
                <w:color w:val="000000"/>
                <w:kern w:val="0"/>
                <w:sz w:val="24"/>
                <w:szCs w:val="24"/>
              </w:rPr>
              <w:t>审定</w:t>
            </w:r>
            <w:r>
              <w:rPr>
                <w:rFonts w:ascii="Times New Roman" w:hAnsi="Times New Roman" w:eastAsia="黑体" w:cs="Times New Roman"/>
                <w:color w:val="000000"/>
                <w:kern w:val="0"/>
                <w:sz w:val="24"/>
                <w:szCs w:val="24"/>
              </w:rPr>
              <w:br w:type="textWrapping"/>
            </w:r>
            <w:r>
              <w:rPr>
                <w:rFonts w:hint="eastAsia" w:ascii="Times New Roman" w:hAnsi="Times New Roman" w:eastAsia="黑体" w:cs="宋体"/>
                <w:color w:val="000000"/>
                <w:kern w:val="0"/>
                <w:sz w:val="24"/>
                <w:szCs w:val="24"/>
              </w:rPr>
              <w:t>类别</w:t>
            </w:r>
          </w:p>
        </w:tc>
        <w:tc>
          <w:tcPr>
            <w:tcW w:w="2977" w:type="dxa"/>
            <w:tcBorders>
              <w:top w:val="single" w:color="auto" w:sz="4" w:space="0"/>
              <w:left w:val="nil"/>
              <w:bottom w:val="single" w:color="auto" w:sz="4" w:space="0"/>
              <w:right w:val="single" w:color="auto" w:sz="4" w:space="0"/>
            </w:tcBorders>
            <w:vAlign w:val="center"/>
          </w:tcPr>
          <w:p>
            <w:pPr>
              <w:widowControl/>
              <w:spacing w:line="300" w:lineRule="auto"/>
              <w:jc w:val="center"/>
              <w:rPr>
                <w:rFonts w:ascii="Times New Roman" w:hAnsi="Times New Roman" w:eastAsia="黑体" w:cs="Times New Roman"/>
                <w:color w:val="000000"/>
                <w:kern w:val="0"/>
                <w:sz w:val="24"/>
                <w:szCs w:val="24"/>
              </w:rPr>
            </w:pPr>
            <w:r>
              <w:rPr>
                <w:rFonts w:hint="eastAsia" w:ascii="Times New Roman" w:hAnsi="Times New Roman" w:eastAsia="黑体" w:cs="Times New Roman"/>
                <w:color w:val="000000"/>
                <w:kern w:val="0"/>
                <w:sz w:val="24"/>
                <w:szCs w:val="24"/>
              </w:rPr>
              <w:t>选育单位</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沈农</w:t>
            </w:r>
            <w:r>
              <w:rPr>
                <w:rFonts w:ascii="Times New Roman" w:hAnsi="Times New Roman" w:eastAsia="宋体" w:cs="Times New Roman"/>
                <w:color w:val="000000"/>
                <w:kern w:val="0"/>
                <w:sz w:val="24"/>
                <w:szCs w:val="24"/>
              </w:rPr>
              <w:t>17</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44.59</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沈阳农业大学大豆研究所</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首豆</w:t>
            </w:r>
            <w:r>
              <w:rPr>
                <w:rFonts w:ascii="Times New Roman" w:hAnsi="Times New Roman" w:eastAsia="宋体" w:cs="Times New Roman"/>
                <w:color w:val="000000"/>
                <w:kern w:val="0"/>
                <w:sz w:val="24"/>
                <w:szCs w:val="24"/>
              </w:rPr>
              <w:t>33</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43.67</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辽宁省辽阳县元田种子研发中心、杨宏宝</w:t>
            </w:r>
          </w:p>
        </w:tc>
      </w:tr>
      <w:tr>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3</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岫豆</w:t>
            </w:r>
            <w:r>
              <w:rPr>
                <w:rFonts w:ascii="Times New Roman" w:hAnsi="Times New Roman" w:eastAsia="宋体" w:cs="Times New Roman"/>
                <w:color w:val="000000"/>
                <w:kern w:val="0"/>
                <w:sz w:val="24"/>
                <w:szCs w:val="24"/>
              </w:rPr>
              <w:t>2003-3</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43.15</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2011</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朝阳镇农业技术推广站</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42</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43.41</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2014</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5</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东豆七号</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43.26</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辽宁东亚种业有限公司</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6</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47</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43.57</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7</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48</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43.48</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8</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首豆</w:t>
            </w:r>
            <w:r>
              <w:rPr>
                <w:rFonts w:ascii="Times New Roman" w:hAnsi="Times New Roman" w:eastAsia="宋体" w:cs="Times New Roman"/>
                <w:color w:val="000000"/>
                <w:kern w:val="0"/>
                <w:sz w:val="24"/>
                <w:szCs w:val="24"/>
              </w:rPr>
              <w:t>35</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45.81</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辽阳县元田种子研发中心</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9</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铁豆</w:t>
            </w:r>
            <w:r>
              <w:rPr>
                <w:rFonts w:ascii="Times New Roman" w:hAnsi="Times New Roman" w:eastAsia="宋体" w:cs="Times New Roman"/>
                <w:color w:val="000000"/>
                <w:kern w:val="0"/>
                <w:sz w:val="24"/>
                <w:szCs w:val="24"/>
              </w:rPr>
              <w:t>78</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44.04</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2015</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铁岭市农业科学院</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10</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东豆</w:t>
            </w:r>
            <w:r>
              <w:rPr>
                <w:rFonts w:ascii="Times New Roman" w:hAnsi="Times New Roman" w:eastAsia="宋体" w:cs="Times New Roman"/>
                <w:color w:val="000000"/>
                <w:kern w:val="0"/>
                <w:sz w:val="24"/>
                <w:szCs w:val="24"/>
              </w:rPr>
              <w:t>88</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43.65</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辽宁东亚种业有限公司</w:t>
            </w:r>
          </w:p>
        </w:tc>
      </w:tr>
      <w:tr>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11</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首豆</w:t>
            </w:r>
            <w:r>
              <w:rPr>
                <w:rFonts w:ascii="Times New Roman" w:hAnsi="Times New Roman" w:eastAsia="宋体" w:cs="Times New Roman"/>
                <w:color w:val="000000"/>
                <w:kern w:val="0"/>
                <w:sz w:val="24"/>
                <w:szCs w:val="24"/>
              </w:rPr>
              <w:t>37</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45.88</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2016</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辽阳县元田种子研发中心</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12</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丹豆</w:t>
            </w:r>
            <w:r>
              <w:rPr>
                <w:rFonts w:ascii="Times New Roman" w:hAnsi="Times New Roman" w:eastAsia="宋体" w:cs="Times New Roman"/>
                <w:color w:val="000000"/>
                <w:kern w:val="0"/>
                <w:sz w:val="24"/>
                <w:szCs w:val="24"/>
              </w:rPr>
              <w:t>18</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43.15</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丹东农业科学院</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13</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丹豆</w:t>
            </w:r>
            <w:r>
              <w:rPr>
                <w:rFonts w:ascii="Times New Roman" w:hAnsi="Times New Roman" w:eastAsia="宋体" w:cs="Times New Roman"/>
                <w:color w:val="000000"/>
                <w:kern w:val="0"/>
                <w:sz w:val="24"/>
                <w:szCs w:val="24"/>
              </w:rPr>
              <w:t>19</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43.16</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丹东农业科学院</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14</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东豆</w:t>
            </w:r>
            <w:r>
              <w:rPr>
                <w:rFonts w:ascii="Times New Roman" w:hAnsi="Times New Roman" w:eastAsia="宋体" w:cs="Times New Roman"/>
                <w:color w:val="000000"/>
                <w:kern w:val="0"/>
                <w:sz w:val="24"/>
                <w:szCs w:val="24"/>
              </w:rPr>
              <w:t>1133</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43.28</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辽宁东亚种业有限公司</w:t>
            </w:r>
          </w:p>
        </w:tc>
      </w:tr>
      <w:tr>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15</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福豆</w:t>
            </w:r>
            <w:r>
              <w:rPr>
                <w:rFonts w:ascii="Times New Roman" w:hAnsi="Times New Roman" w:eastAsia="宋体" w:cs="Times New Roman"/>
                <w:color w:val="000000"/>
                <w:kern w:val="0"/>
                <w:sz w:val="24"/>
                <w:szCs w:val="24"/>
              </w:rPr>
              <w:t>6</w:t>
            </w:r>
            <w:r>
              <w:rPr>
                <w:rFonts w:hint="eastAsia" w:ascii="Times New Roman" w:hAnsi="Times New Roman" w:eastAsia="仿宋" w:cs="Times New Roman"/>
                <w:color w:val="000000"/>
                <w:kern w:val="0"/>
                <w:sz w:val="24"/>
                <w:szCs w:val="24"/>
              </w:rPr>
              <w:t>号</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43.19</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李子升</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16</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58</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43.14</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2018</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17</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丹豆</w:t>
            </w:r>
            <w:r>
              <w:rPr>
                <w:rFonts w:ascii="Times New Roman" w:hAnsi="Times New Roman" w:eastAsia="宋体" w:cs="Times New Roman"/>
                <w:color w:val="000000"/>
                <w:kern w:val="0"/>
                <w:sz w:val="24"/>
                <w:szCs w:val="24"/>
              </w:rPr>
              <w:t>21</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43.98</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2019</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丹东农业科学院</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18</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70</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43.72</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2019</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19</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群豆</w:t>
            </w:r>
            <w:r>
              <w:rPr>
                <w:rFonts w:ascii="Times New Roman" w:hAnsi="Times New Roman" w:eastAsia="宋体" w:cs="Times New Roman"/>
                <w:color w:val="000000"/>
                <w:kern w:val="0"/>
                <w:sz w:val="24"/>
                <w:szCs w:val="24"/>
              </w:rPr>
              <w:t>SLQ8</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43.77</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2019</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辽宁建华种业有限公司</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首豆</w:t>
            </w:r>
            <w:r>
              <w:rPr>
                <w:rFonts w:ascii="Times New Roman" w:hAnsi="Times New Roman" w:eastAsia="宋体" w:cs="Times New Roman"/>
                <w:color w:val="000000"/>
                <w:kern w:val="0"/>
                <w:sz w:val="24"/>
                <w:szCs w:val="24"/>
              </w:rPr>
              <w:t>39</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43.37</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2020</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杨凌舒、辽阳县元田种子研发中心</w:t>
            </w:r>
          </w:p>
        </w:tc>
      </w:tr>
      <w:tr>
        <w:tblPrEx>
          <w:tblCellMar>
            <w:top w:w="0" w:type="dxa"/>
            <w:left w:w="108" w:type="dxa"/>
            <w:bottom w:w="0" w:type="dxa"/>
            <w:right w:w="108" w:type="dxa"/>
          </w:tblCellMar>
        </w:tblPrEx>
        <w:tc>
          <w:tcPr>
            <w:tcW w:w="710" w:type="dxa"/>
            <w:tcBorders>
              <w:top w:val="nil"/>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21</w:t>
            </w:r>
          </w:p>
        </w:tc>
        <w:tc>
          <w:tcPr>
            <w:tcW w:w="1701"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83</w:t>
            </w:r>
          </w:p>
        </w:tc>
        <w:tc>
          <w:tcPr>
            <w:tcW w:w="1559"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43.55</w:t>
            </w:r>
          </w:p>
        </w:tc>
        <w:tc>
          <w:tcPr>
            <w:tcW w:w="1276"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2022</w:t>
            </w:r>
          </w:p>
        </w:tc>
        <w:tc>
          <w:tcPr>
            <w:tcW w:w="1275"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nil"/>
              <w:left w:val="nil"/>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blPrEx>
          <w:tblCellMar>
            <w:top w:w="0" w:type="dxa"/>
            <w:left w:w="108" w:type="dxa"/>
            <w:bottom w:w="0" w:type="dxa"/>
            <w:right w:w="108" w:type="dxa"/>
          </w:tblCellMar>
        </w:tblPrEx>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22</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辽豆</w:t>
            </w:r>
            <w:r>
              <w:rPr>
                <w:rFonts w:ascii="Times New Roman" w:hAnsi="Times New Roman" w:eastAsia="宋体" w:cs="Times New Roman"/>
                <w:color w:val="000000"/>
                <w:kern w:val="0"/>
                <w:sz w:val="24"/>
                <w:szCs w:val="24"/>
              </w:rPr>
              <w:t>84</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45.51</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ascii="Times New Roman" w:hAnsi="Times New Roman" w:eastAsia="宋体" w:cs="Times New Roman"/>
                <w:color w:val="000000"/>
                <w:kern w:val="0"/>
                <w:sz w:val="24"/>
                <w:szCs w:val="24"/>
              </w:rPr>
              <w:t>2023</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辽宁省农业科学院作物研究所</w:t>
            </w:r>
          </w:p>
        </w:tc>
      </w:tr>
      <w:tr>
        <w:tc>
          <w:tcPr>
            <w:tcW w:w="71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23</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开豆28</w:t>
            </w:r>
          </w:p>
        </w:tc>
        <w:tc>
          <w:tcPr>
            <w:tcW w:w="1559"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44.48</w:t>
            </w:r>
          </w:p>
        </w:tc>
        <w:tc>
          <w:tcPr>
            <w:tcW w:w="12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rPr>
              <w:t>2026</w:t>
            </w:r>
          </w:p>
        </w:tc>
        <w:tc>
          <w:tcPr>
            <w:tcW w:w="1275"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省审</w:t>
            </w:r>
          </w:p>
        </w:tc>
        <w:tc>
          <w:tcPr>
            <w:tcW w:w="2977"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ascii="Times New Roman" w:hAnsi="Times New Roman" w:eastAsia="宋体" w:cs="Times New Roman"/>
                <w:color w:val="000000"/>
                <w:kern w:val="0"/>
                <w:sz w:val="24"/>
                <w:szCs w:val="24"/>
              </w:rPr>
            </w:pPr>
            <w:r>
              <w:rPr>
                <w:rFonts w:hint="eastAsia" w:ascii="Times New Roman" w:hAnsi="Times New Roman" w:eastAsia="仿宋" w:cs="Times New Roman"/>
                <w:color w:val="000000"/>
                <w:kern w:val="0"/>
                <w:sz w:val="24"/>
                <w:szCs w:val="24"/>
              </w:rPr>
              <w:t>李子升</w:t>
            </w:r>
          </w:p>
        </w:tc>
      </w:tr>
    </w:tbl>
    <w:p>
      <w:pPr>
        <w:keepNext w:val="0"/>
        <w:keepLines w:val="0"/>
        <w:pageBreakBefore w:val="0"/>
        <w:widowControl w:val="0"/>
        <w:kinsoku/>
        <w:wordWrap/>
        <w:overflowPunct/>
        <w:topLinePunct w:val="0"/>
        <w:autoSpaceDE/>
        <w:autoSpaceDN/>
        <w:bidi w:val="0"/>
        <w:adjustRightInd/>
        <w:snapToGrid/>
        <w:ind w:firstLine="682" w:firstLineChars="200"/>
        <w:textAlignment w:val="auto"/>
        <w:rPr>
          <w:rFonts w:hint="default" w:ascii="仿宋" w:hAnsi="仿宋" w:eastAsia="仿宋" w:cs="仿宋"/>
          <w:color w:val="000000"/>
          <w:kern w:val="0"/>
          <w:sz w:val="32"/>
          <w:szCs w:val="32"/>
          <w:lang w:val="en-US" w:eastAsia="zh-CN"/>
        </w:rPr>
        <w:sectPr>
          <w:pgSz w:w="11850" w:h="16838"/>
          <w:pgMar w:top="1701" w:right="1417" w:bottom="1701" w:left="1417" w:header="851" w:footer="1417" w:gutter="0"/>
          <w:pgNumType w:fmt="decimal"/>
          <w:cols w:space="0" w:num="1"/>
          <w:rtlGutter w:val="0"/>
          <w:docGrid w:type="linesAndChars" w:linePitch="312" w:charSpace="4360"/>
        </w:sectPr>
      </w:pPr>
    </w:p>
    <w:p>
      <w:pPr>
        <w:widowControl/>
        <w:jc w:val="left"/>
        <w:rPr>
          <w:rFonts w:hint="eastAsia" w:ascii="黑体" w:hAnsi="黑体" w:eastAsia="黑体" w:cs="黑体"/>
          <w:sz w:val="32"/>
        </w:rPr>
      </w:pPr>
      <w:r>
        <w:rPr>
          <w:rFonts w:hint="eastAsia" w:ascii="黑体" w:hAnsi="黑体" w:eastAsia="黑体" w:cs="黑体"/>
          <w:sz w:val="32"/>
        </w:rPr>
        <w:t>附件3</w:t>
      </w:r>
    </w:p>
    <w:p>
      <w:pPr>
        <w:widowControl/>
        <w:jc w:val="center"/>
        <w:rPr>
          <w:rFonts w:ascii="Times New Roman" w:hAnsi="Times New Roman" w:eastAsia="宋体" w:cs="Times New Roman"/>
          <w:b/>
          <w:sz w:val="44"/>
          <w:szCs w:val="44"/>
        </w:rPr>
      </w:pPr>
      <w:r>
        <w:rPr>
          <w:rFonts w:hint="eastAsia" w:ascii="Times New Roman" w:hAnsi="Times New Roman" w:eastAsia="宋体" w:cs="Times New Roman"/>
          <w:b/>
          <w:sz w:val="44"/>
          <w:szCs w:val="44"/>
        </w:rPr>
        <w:t>2026年优质大豆品种补贴申报及核实确认表</w:t>
      </w:r>
    </w:p>
    <w:p>
      <w:pPr>
        <w:widowControl/>
        <w:spacing w:after="93" w:afterLines="30"/>
        <w:jc w:val="left"/>
        <w:rPr>
          <w:rFonts w:hint="eastAsia" w:asciiTheme="minorEastAsia" w:hAnsiTheme="minorEastAsia" w:eastAsiaTheme="minorEastAsia" w:cstheme="minorEastAsia"/>
          <w:sz w:val="28"/>
          <w:szCs w:val="21"/>
        </w:rPr>
      </w:pPr>
      <w:r>
        <w:rPr>
          <w:rFonts w:hint="eastAsia" w:asciiTheme="minorEastAsia" w:hAnsiTheme="minorEastAsia" w:eastAsiaTheme="minorEastAsia" w:cstheme="minorEastAsia"/>
          <w:sz w:val="28"/>
          <w:szCs w:val="21"/>
        </w:rPr>
        <w:t>填报单位（盖章）：          乡（镇）     村                              2026 年  月  日</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071"/>
        <w:gridCol w:w="1115"/>
        <w:gridCol w:w="1116"/>
        <w:gridCol w:w="1115"/>
        <w:gridCol w:w="1115"/>
        <w:gridCol w:w="1115"/>
        <w:gridCol w:w="1115"/>
        <w:gridCol w:w="1315"/>
        <w:gridCol w:w="824"/>
        <w:gridCol w:w="1024"/>
        <w:gridCol w:w="10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申报人姓名</w:t>
            </w:r>
          </w:p>
        </w:tc>
        <w:tc>
          <w:tcPr>
            <w:tcW w:w="1071" w:type="dxa"/>
            <w:vMerge w:val="restart"/>
            <w:vAlign w:val="center"/>
          </w:tcPr>
          <w:p>
            <w:pPr>
              <w:spacing w:line="300" w:lineRule="exact"/>
              <w:jc w:val="center"/>
              <w:rPr>
                <w:rFonts w:hint="eastAsia" w:asciiTheme="minorEastAsia" w:hAnsiTheme="minorEastAsia" w:eastAsiaTheme="minorEastAsia" w:cstheme="minorEastAsia"/>
                <w:kern w:val="0"/>
                <w:sz w:val="22"/>
                <w:szCs w:val="15"/>
                <w:lang w:eastAsia="zh-CN"/>
              </w:rPr>
            </w:pPr>
            <w:r>
              <w:rPr>
                <w:rFonts w:hint="eastAsia" w:asciiTheme="minorEastAsia" w:hAnsiTheme="minorEastAsia" w:eastAsiaTheme="minorEastAsia" w:cstheme="minorEastAsia"/>
                <w:kern w:val="0"/>
                <w:sz w:val="22"/>
                <w:szCs w:val="15"/>
              </w:rPr>
              <w:t>申报人2026年种植高油高蛋白大豆面积</w:t>
            </w:r>
            <w:r>
              <w:rPr>
                <w:rFonts w:hint="eastAsia" w:asciiTheme="minorEastAsia" w:hAnsiTheme="minorEastAsia" w:eastAsiaTheme="minorEastAsia" w:cstheme="minorEastAsia"/>
                <w:kern w:val="0"/>
                <w:sz w:val="22"/>
                <w:szCs w:val="15"/>
                <w:lang w:eastAsia="zh-CN"/>
              </w:rPr>
              <w:t>（亩）</w:t>
            </w:r>
          </w:p>
        </w:tc>
        <w:tc>
          <w:tcPr>
            <w:tcW w:w="2231" w:type="dxa"/>
            <w:gridSpan w:val="2"/>
            <w:vAlign w:val="center"/>
          </w:tcPr>
          <w:p>
            <w:pPr>
              <w:widowControl/>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其中：</w:t>
            </w:r>
          </w:p>
        </w:tc>
        <w:tc>
          <w:tcPr>
            <w:tcW w:w="1115"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购买高油大豆品种名称及种子数量（斤）</w:t>
            </w:r>
          </w:p>
        </w:tc>
        <w:tc>
          <w:tcPr>
            <w:tcW w:w="1115"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2026年种植高油大豆面积（亩）</w:t>
            </w:r>
          </w:p>
        </w:tc>
        <w:tc>
          <w:tcPr>
            <w:tcW w:w="1115"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购买高蛋白大豆品种名称及种子数量（斤）</w:t>
            </w:r>
          </w:p>
        </w:tc>
        <w:tc>
          <w:tcPr>
            <w:tcW w:w="1115"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2026年种植高蛋白大豆面积（亩）</w:t>
            </w:r>
          </w:p>
        </w:tc>
        <w:tc>
          <w:tcPr>
            <w:tcW w:w="1315"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在何处购买的高油或高蛋白大豆种子（农资商店、企业等具体名称）</w:t>
            </w:r>
          </w:p>
        </w:tc>
        <w:tc>
          <w:tcPr>
            <w:tcW w:w="824"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“一卡通”账号</w:t>
            </w:r>
          </w:p>
        </w:tc>
        <w:tc>
          <w:tcPr>
            <w:tcW w:w="1024"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申报人联系电话</w:t>
            </w:r>
          </w:p>
        </w:tc>
        <w:tc>
          <w:tcPr>
            <w:tcW w:w="1024" w:type="dxa"/>
            <w:vMerge w:val="restart"/>
            <w:vAlign w:val="center"/>
          </w:tcPr>
          <w:p>
            <w:pPr>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申报人身份证号码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071"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115" w:type="dxa"/>
            <w:vAlign w:val="center"/>
          </w:tcPr>
          <w:p>
            <w:pPr>
              <w:widowControl/>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自有耕地种植大豆面积（亩）</w:t>
            </w:r>
          </w:p>
        </w:tc>
        <w:tc>
          <w:tcPr>
            <w:tcW w:w="1116" w:type="dxa"/>
            <w:vAlign w:val="center"/>
          </w:tcPr>
          <w:p>
            <w:pPr>
              <w:widowControl/>
              <w:spacing w:line="300" w:lineRule="exact"/>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承租他人耕地种植大豆面积（亩）</w:t>
            </w:r>
          </w:p>
        </w:tc>
        <w:tc>
          <w:tcPr>
            <w:tcW w:w="1115"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115"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115"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115"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315"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824"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024"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c>
          <w:tcPr>
            <w:tcW w:w="1024" w:type="dxa"/>
            <w:vMerge w:val="continue"/>
            <w:vAlign w:val="center"/>
          </w:tcPr>
          <w:p>
            <w:pPr>
              <w:widowControl/>
              <w:spacing w:line="300" w:lineRule="exact"/>
              <w:jc w:val="center"/>
              <w:rPr>
                <w:rFonts w:hint="eastAsia" w:asciiTheme="minorEastAsia" w:hAnsiTheme="minorEastAsia" w:eastAsiaTheme="minorEastAsia" w:cstheme="minorEastAsia"/>
                <w:kern w:val="0"/>
                <w:sz w:val="22"/>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tcPr>
          <w:p>
            <w:pPr>
              <w:widowControl/>
              <w:jc w:val="left"/>
              <w:rPr>
                <w:rFonts w:hint="eastAsia" w:asciiTheme="minorEastAsia" w:hAnsiTheme="minorEastAsia" w:eastAsiaTheme="minorEastAsia" w:cstheme="minorEastAsia"/>
                <w:kern w:val="0"/>
                <w:sz w:val="32"/>
                <w:szCs w:val="20"/>
              </w:rPr>
            </w:pPr>
          </w:p>
        </w:tc>
        <w:tc>
          <w:tcPr>
            <w:tcW w:w="1071"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6"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315" w:type="dxa"/>
          </w:tcPr>
          <w:p>
            <w:pPr>
              <w:widowControl/>
              <w:jc w:val="left"/>
              <w:rPr>
                <w:rFonts w:hint="eastAsia" w:asciiTheme="minorEastAsia" w:hAnsiTheme="minorEastAsia" w:eastAsiaTheme="minorEastAsia" w:cstheme="minorEastAsia"/>
                <w:kern w:val="0"/>
                <w:sz w:val="32"/>
                <w:szCs w:val="20"/>
              </w:rPr>
            </w:pPr>
          </w:p>
        </w:tc>
        <w:tc>
          <w:tcPr>
            <w:tcW w:w="8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23" w:type="dxa"/>
          </w:tcPr>
          <w:p>
            <w:pPr>
              <w:widowControl/>
              <w:jc w:val="left"/>
              <w:rPr>
                <w:rFonts w:hint="eastAsia" w:asciiTheme="minorEastAsia" w:hAnsiTheme="minorEastAsia" w:eastAsiaTheme="minorEastAsia" w:cstheme="minorEastAsia"/>
                <w:kern w:val="0"/>
                <w:sz w:val="32"/>
                <w:szCs w:val="20"/>
              </w:rPr>
            </w:pPr>
          </w:p>
        </w:tc>
        <w:tc>
          <w:tcPr>
            <w:tcW w:w="1071"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6"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315" w:type="dxa"/>
          </w:tcPr>
          <w:p>
            <w:pPr>
              <w:widowControl/>
              <w:jc w:val="left"/>
              <w:rPr>
                <w:rFonts w:hint="eastAsia" w:asciiTheme="minorEastAsia" w:hAnsiTheme="minorEastAsia" w:eastAsiaTheme="minorEastAsia" w:cstheme="minorEastAsia"/>
                <w:kern w:val="0"/>
                <w:sz w:val="32"/>
                <w:szCs w:val="20"/>
              </w:rPr>
            </w:pPr>
          </w:p>
        </w:tc>
        <w:tc>
          <w:tcPr>
            <w:tcW w:w="8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tcPr>
          <w:p>
            <w:pPr>
              <w:widowControl/>
              <w:jc w:val="left"/>
              <w:rPr>
                <w:rFonts w:hint="eastAsia" w:asciiTheme="minorEastAsia" w:hAnsiTheme="minorEastAsia" w:eastAsiaTheme="minorEastAsia" w:cstheme="minorEastAsia"/>
                <w:kern w:val="0"/>
                <w:sz w:val="32"/>
                <w:szCs w:val="20"/>
              </w:rPr>
            </w:pPr>
          </w:p>
        </w:tc>
        <w:tc>
          <w:tcPr>
            <w:tcW w:w="1071"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6"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315" w:type="dxa"/>
          </w:tcPr>
          <w:p>
            <w:pPr>
              <w:widowControl/>
              <w:jc w:val="left"/>
              <w:rPr>
                <w:rFonts w:hint="eastAsia" w:asciiTheme="minorEastAsia" w:hAnsiTheme="minorEastAsia" w:eastAsiaTheme="minorEastAsia" w:cstheme="minorEastAsia"/>
                <w:kern w:val="0"/>
                <w:sz w:val="32"/>
                <w:szCs w:val="20"/>
              </w:rPr>
            </w:pPr>
          </w:p>
        </w:tc>
        <w:tc>
          <w:tcPr>
            <w:tcW w:w="8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 w:type="dxa"/>
            <w:vAlign w:val="center"/>
          </w:tcPr>
          <w:p>
            <w:pPr>
              <w:widowControl/>
              <w:jc w:val="center"/>
              <w:rPr>
                <w:rFonts w:hint="eastAsia" w:asciiTheme="minorEastAsia" w:hAnsiTheme="minorEastAsia" w:eastAsiaTheme="minorEastAsia" w:cstheme="minorEastAsia"/>
                <w:kern w:val="0"/>
                <w:sz w:val="22"/>
                <w:szCs w:val="15"/>
              </w:rPr>
            </w:pPr>
            <w:r>
              <w:rPr>
                <w:rFonts w:hint="eastAsia" w:asciiTheme="minorEastAsia" w:hAnsiTheme="minorEastAsia" w:eastAsiaTheme="minorEastAsia" w:cstheme="minorEastAsia"/>
                <w:kern w:val="0"/>
                <w:sz w:val="22"/>
                <w:szCs w:val="15"/>
              </w:rPr>
              <w:t>合计</w:t>
            </w:r>
          </w:p>
        </w:tc>
        <w:tc>
          <w:tcPr>
            <w:tcW w:w="1071"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6"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115" w:type="dxa"/>
          </w:tcPr>
          <w:p>
            <w:pPr>
              <w:widowControl/>
              <w:jc w:val="left"/>
              <w:rPr>
                <w:rFonts w:hint="eastAsia" w:asciiTheme="minorEastAsia" w:hAnsiTheme="minorEastAsia" w:eastAsiaTheme="minorEastAsia" w:cstheme="minorEastAsia"/>
                <w:kern w:val="0"/>
                <w:sz w:val="32"/>
                <w:szCs w:val="20"/>
              </w:rPr>
            </w:pPr>
          </w:p>
        </w:tc>
        <w:tc>
          <w:tcPr>
            <w:tcW w:w="1315" w:type="dxa"/>
          </w:tcPr>
          <w:p>
            <w:pPr>
              <w:widowControl/>
              <w:jc w:val="left"/>
              <w:rPr>
                <w:rFonts w:hint="eastAsia" w:asciiTheme="minorEastAsia" w:hAnsiTheme="minorEastAsia" w:eastAsiaTheme="minorEastAsia" w:cstheme="minorEastAsia"/>
                <w:kern w:val="0"/>
                <w:sz w:val="32"/>
                <w:szCs w:val="20"/>
              </w:rPr>
            </w:pPr>
          </w:p>
        </w:tc>
        <w:tc>
          <w:tcPr>
            <w:tcW w:w="8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c>
          <w:tcPr>
            <w:tcW w:w="1024" w:type="dxa"/>
          </w:tcPr>
          <w:p>
            <w:pPr>
              <w:widowControl/>
              <w:jc w:val="left"/>
              <w:rPr>
                <w:rFonts w:hint="eastAsia" w:asciiTheme="minorEastAsia" w:hAnsiTheme="minorEastAsia" w:eastAsiaTheme="minorEastAsia" w:cstheme="minorEastAsia"/>
                <w:kern w:val="0"/>
                <w:sz w:val="32"/>
                <w:szCs w:val="20"/>
              </w:rPr>
            </w:pPr>
          </w:p>
        </w:tc>
      </w:tr>
    </w:tbl>
    <w:p>
      <w:pPr>
        <w:widowControl/>
        <w:jc w:val="left"/>
        <w:rPr>
          <w:rFonts w:hint="eastAsia" w:asciiTheme="minorEastAsia" w:hAnsiTheme="minorEastAsia" w:eastAsiaTheme="minorEastAsia" w:cstheme="minorEastAsia"/>
          <w:sz w:val="28"/>
          <w:szCs w:val="21"/>
        </w:rPr>
      </w:pPr>
      <w:r>
        <w:rPr>
          <w:rFonts w:hint="eastAsia" w:asciiTheme="minorEastAsia" w:hAnsiTheme="minorEastAsia" w:eastAsiaTheme="minorEastAsia" w:cstheme="minorEastAsia"/>
          <w:sz w:val="28"/>
          <w:szCs w:val="21"/>
        </w:rPr>
        <w:t>申报人签字：      村小组长签字：      村主任（书记）签字：      乡镇部门负责人签字：</w:t>
      </w:r>
    </w:p>
    <w:p>
      <w:pPr>
        <w:widowControl/>
        <w:jc w:val="left"/>
        <w:rPr>
          <w:rFonts w:hint="eastAsia" w:ascii="黑体" w:hAnsi="黑体" w:eastAsia="黑体" w:cs="黑体"/>
          <w:sz w:val="32"/>
        </w:rPr>
      </w:pPr>
    </w:p>
    <w:p>
      <w:pPr>
        <w:widowControl/>
        <w:jc w:val="left"/>
        <w:rPr>
          <w:rFonts w:hint="eastAsia" w:ascii="黑体" w:hAnsi="黑体" w:eastAsia="黑体" w:cs="黑体"/>
          <w:sz w:val="32"/>
        </w:rPr>
      </w:pPr>
      <w:r>
        <w:rPr>
          <w:rFonts w:hint="eastAsia" w:ascii="黑体" w:hAnsi="黑体" w:eastAsia="黑体" w:cs="黑体"/>
          <w:sz w:val="32"/>
        </w:rPr>
        <w:t>附件4</w:t>
      </w:r>
    </w:p>
    <w:p>
      <w:pPr>
        <w:widowControl/>
        <w:jc w:val="center"/>
        <w:rPr>
          <w:rFonts w:ascii="Times New Roman" w:hAnsi="Times New Roman" w:eastAsia="宋体" w:cs="Times New Roman"/>
          <w:b/>
          <w:sz w:val="44"/>
          <w:szCs w:val="44"/>
        </w:rPr>
      </w:pPr>
      <w:r>
        <w:rPr>
          <w:rFonts w:hint="eastAsia" w:ascii="Times New Roman" w:hAnsi="Times New Roman" w:eastAsia="宋体" w:cs="Times New Roman"/>
          <w:b/>
          <w:sz w:val="44"/>
          <w:szCs w:val="44"/>
        </w:rPr>
        <w:t>优质大豆生产资金使用情况调度表</w:t>
      </w:r>
    </w:p>
    <w:p>
      <w:pPr>
        <w:widowControl/>
        <w:spacing w:after="93" w:afterLines="30"/>
        <w:jc w:val="left"/>
        <w:rPr>
          <w:rFonts w:hint="eastAsia" w:asciiTheme="minorEastAsia" w:hAnsiTheme="minorEastAsia" w:eastAsiaTheme="minorEastAsia" w:cstheme="minorEastAsia"/>
          <w:sz w:val="28"/>
          <w:szCs w:val="21"/>
        </w:rPr>
      </w:pPr>
      <w:r>
        <w:rPr>
          <w:rFonts w:hint="eastAsia" w:asciiTheme="minorEastAsia" w:hAnsiTheme="minorEastAsia" w:eastAsiaTheme="minorEastAsia" w:cstheme="minorEastAsia"/>
          <w:sz w:val="28"/>
          <w:szCs w:val="21"/>
        </w:rPr>
        <w:t xml:space="preserve">填报单位（盖章）：             填报日期：          </w:t>
      </w:r>
      <w:r>
        <w:rPr>
          <w:rFonts w:hint="eastAsia" w:asciiTheme="minorEastAsia" w:hAnsiTheme="minorEastAsia" w:eastAsiaTheme="minorEastAsia" w:cstheme="minorEastAsia"/>
          <w:sz w:val="28"/>
          <w:szCs w:val="21"/>
          <w:lang w:val="en-US" w:eastAsia="zh-CN"/>
        </w:rPr>
        <w:t xml:space="preserve">        </w:t>
      </w:r>
      <w:r>
        <w:rPr>
          <w:rFonts w:hint="eastAsia" w:asciiTheme="minorEastAsia" w:hAnsiTheme="minorEastAsia" w:eastAsiaTheme="minorEastAsia" w:cstheme="minorEastAsia"/>
          <w:sz w:val="28"/>
          <w:szCs w:val="21"/>
        </w:rPr>
        <w:t>单位：元、亩、斤、元/亩</w:t>
      </w:r>
    </w:p>
    <w:tbl>
      <w:tblPr>
        <w:tblStyle w:val="5"/>
        <w:tblW w:w="12751"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996"/>
        <w:gridCol w:w="840"/>
        <w:gridCol w:w="825"/>
        <w:gridCol w:w="990"/>
        <w:gridCol w:w="900"/>
        <w:gridCol w:w="840"/>
        <w:gridCol w:w="900"/>
        <w:gridCol w:w="840"/>
        <w:gridCol w:w="870"/>
        <w:gridCol w:w="945"/>
        <w:gridCol w:w="930"/>
        <w:gridCol w:w="930"/>
        <w:gridCol w:w="8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atLeast"/>
        </w:trPr>
        <w:tc>
          <w:tcPr>
            <w:tcW w:w="1120" w:type="dxa"/>
            <w:vMerge w:val="restart"/>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地区</w:t>
            </w:r>
          </w:p>
        </w:tc>
        <w:tc>
          <w:tcPr>
            <w:tcW w:w="996" w:type="dxa"/>
            <w:vMerge w:val="restart"/>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应发资金</w:t>
            </w:r>
          </w:p>
        </w:tc>
        <w:tc>
          <w:tcPr>
            <w:tcW w:w="840" w:type="dxa"/>
            <w:vMerge w:val="restart"/>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实发资金</w:t>
            </w:r>
          </w:p>
        </w:tc>
        <w:tc>
          <w:tcPr>
            <w:tcW w:w="825" w:type="dxa"/>
            <w:vMerge w:val="restart"/>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结转资金</w:t>
            </w:r>
          </w:p>
        </w:tc>
        <w:tc>
          <w:tcPr>
            <w:tcW w:w="990" w:type="dxa"/>
            <w:vMerge w:val="restart"/>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资金执行率</w:t>
            </w:r>
          </w:p>
        </w:tc>
        <w:tc>
          <w:tcPr>
            <w:tcW w:w="7980" w:type="dxa"/>
            <w:gridSpan w:val="9"/>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优质大豆品种补贴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12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996"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84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825"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99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900" w:type="dxa"/>
            <w:vMerge w:val="restart"/>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实发资金小计</w:t>
            </w:r>
          </w:p>
        </w:tc>
        <w:tc>
          <w:tcPr>
            <w:tcW w:w="3450" w:type="dxa"/>
            <w:gridSpan w:val="4"/>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其中：高油品种</w:t>
            </w:r>
          </w:p>
        </w:tc>
        <w:tc>
          <w:tcPr>
            <w:tcW w:w="3630" w:type="dxa"/>
            <w:gridSpan w:val="4"/>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其中：高蛋白品种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112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996"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84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825"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99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900" w:type="dxa"/>
            <w:vMerge w:val="continue"/>
            <w:vAlign w:val="center"/>
          </w:tcPr>
          <w:p>
            <w:pPr>
              <w:widowControl/>
              <w:spacing w:line="300" w:lineRule="exact"/>
              <w:jc w:val="center"/>
              <w:rPr>
                <w:rFonts w:hint="eastAsia" w:asciiTheme="minorEastAsia" w:hAnsiTheme="minorEastAsia" w:eastAsiaTheme="minorEastAsia" w:cstheme="minorEastAsia"/>
                <w:kern w:val="0"/>
                <w:sz w:val="28"/>
                <w:szCs w:val="21"/>
              </w:rPr>
            </w:pPr>
          </w:p>
        </w:tc>
        <w:tc>
          <w:tcPr>
            <w:tcW w:w="840"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补贴面积</w:t>
            </w:r>
          </w:p>
        </w:tc>
        <w:tc>
          <w:tcPr>
            <w:tcW w:w="900"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补贴种子数量</w:t>
            </w:r>
          </w:p>
        </w:tc>
        <w:tc>
          <w:tcPr>
            <w:tcW w:w="840"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补贴标准</w:t>
            </w:r>
          </w:p>
        </w:tc>
        <w:tc>
          <w:tcPr>
            <w:tcW w:w="870"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实发资金</w:t>
            </w:r>
          </w:p>
        </w:tc>
        <w:tc>
          <w:tcPr>
            <w:tcW w:w="945"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补贴面积</w:t>
            </w:r>
          </w:p>
        </w:tc>
        <w:tc>
          <w:tcPr>
            <w:tcW w:w="930"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补贴种子数量</w:t>
            </w:r>
          </w:p>
        </w:tc>
        <w:tc>
          <w:tcPr>
            <w:tcW w:w="930"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补贴标准</w:t>
            </w:r>
          </w:p>
        </w:tc>
        <w:tc>
          <w:tcPr>
            <w:tcW w:w="825" w:type="dxa"/>
            <w:vAlign w:val="center"/>
          </w:tcPr>
          <w:p>
            <w:pPr>
              <w:widowControl/>
              <w:spacing w:line="300" w:lineRule="exact"/>
              <w:jc w:val="center"/>
              <w:rPr>
                <w:rFonts w:hint="eastAsia" w:asciiTheme="minorEastAsia" w:hAnsiTheme="minorEastAsia" w:eastAsiaTheme="minorEastAsia" w:cstheme="minorEastAsia"/>
                <w:kern w:val="0"/>
                <w:sz w:val="28"/>
                <w:szCs w:val="21"/>
              </w:rPr>
            </w:pPr>
            <w:r>
              <w:rPr>
                <w:rFonts w:hint="eastAsia" w:asciiTheme="minorEastAsia" w:hAnsiTheme="minorEastAsia" w:eastAsiaTheme="minorEastAsia" w:cstheme="minorEastAsia"/>
                <w:kern w:val="0"/>
                <w:sz w:val="28"/>
                <w:szCs w:val="21"/>
              </w:rPr>
              <w:t>实发资金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120" w:type="dxa"/>
            <w:vAlign w:val="center"/>
          </w:tcPr>
          <w:p>
            <w:pPr>
              <w:widowControl/>
              <w:spacing w:after="93" w:afterLines="30"/>
              <w:jc w:val="center"/>
              <w:rPr>
                <w:rFonts w:hint="eastAsia" w:asciiTheme="minorEastAsia" w:hAnsiTheme="minorEastAsia" w:eastAsiaTheme="minorEastAsia" w:cstheme="minorEastAsia"/>
                <w:kern w:val="0"/>
                <w:sz w:val="28"/>
                <w:szCs w:val="21"/>
                <w:lang w:eastAsia="zh-CN"/>
              </w:rPr>
            </w:pPr>
            <w:r>
              <w:rPr>
                <w:rFonts w:hint="eastAsia" w:asciiTheme="minorEastAsia" w:hAnsiTheme="minorEastAsia" w:eastAsiaTheme="minorEastAsia" w:cstheme="minorEastAsia"/>
                <w:kern w:val="0"/>
                <w:sz w:val="28"/>
                <w:szCs w:val="21"/>
                <w:lang w:val="en-US" w:eastAsia="zh-CN"/>
              </w:rPr>
              <w:t>XX</w:t>
            </w:r>
            <w:r>
              <w:rPr>
                <w:rFonts w:hint="eastAsia" w:asciiTheme="minorEastAsia" w:hAnsiTheme="minorEastAsia" w:eastAsiaTheme="minorEastAsia" w:cstheme="minorEastAsia"/>
                <w:kern w:val="0"/>
                <w:sz w:val="28"/>
                <w:szCs w:val="21"/>
                <w:lang w:eastAsia="zh-CN"/>
              </w:rPr>
              <w:t>县（区）</w:t>
            </w:r>
          </w:p>
        </w:tc>
        <w:tc>
          <w:tcPr>
            <w:tcW w:w="996"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84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825"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99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90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84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90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84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87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945"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93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930" w:type="dxa"/>
          </w:tcPr>
          <w:p>
            <w:pPr>
              <w:widowControl/>
              <w:spacing w:after="93" w:afterLines="30"/>
              <w:jc w:val="left"/>
              <w:rPr>
                <w:rFonts w:hint="eastAsia" w:asciiTheme="minorEastAsia" w:hAnsiTheme="minorEastAsia" w:eastAsiaTheme="minorEastAsia" w:cstheme="minorEastAsia"/>
                <w:kern w:val="0"/>
                <w:sz w:val="28"/>
                <w:szCs w:val="21"/>
              </w:rPr>
            </w:pPr>
          </w:p>
        </w:tc>
        <w:tc>
          <w:tcPr>
            <w:tcW w:w="825" w:type="dxa"/>
          </w:tcPr>
          <w:p>
            <w:pPr>
              <w:widowControl/>
              <w:spacing w:after="93" w:afterLines="30"/>
              <w:jc w:val="left"/>
              <w:rPr>
                <w:rFonts w:hint="eastAsia" w:asciiTheme="minorEastAsia" w:hAnsiTheme="minorEastAsia" w:eastAsiaTheme="minorEastAsia" w:cstheme="minorEastAsia"/>
                <w:kern w:val="0"/>
                <w:sz w:val="28"/>
                <w:szCs w:val="21"/>
              </w:rPr>
            </w:pPr>
          </w:p>
        </w:tc>
      </w:tr>
    </w:tbl>
    <w:p>
      <w:pPr>
        <w:keepNext w:val="0"/>
        <w:keepLines w:val="0"/>
        <w:pageBreakBefore w:val="0"/>
        <w:widowControl/>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8"/>
          <w:szCs w:val="21"/>
          <w:lang w:val="en-US" w:eastAsia="zh-CN"/>
        </w:rPr>
      </w:pPr>
      <w:r>
        <w:rPr>
          <w:rFonts w:hint="eastAsia" w:asciiTheme="minorEastAsia" w:hAnsiTheme="minorEastAsia" w:eastAsiaTheme="minorEastAsia" w:cstheme="minorEastAsia"/>
          <w:sz w:val="28"/>
          <w:szCs w:val="21"/>
          <w:lang w:val="en-US" w:eastAsia="zh-CN"/>
        </w:rPr>
        <w:t>注：应发资金为当年市级分配各县（区）资金总额；实发资金为实际拨付的资金额度；结转资金=应发资金-实发资金；资金执行率指实发资金占应发资金的百分比。</w:t>
      </w:r>
    </w:p>
    <w:sectPr>
      <w:pgSz w:w="16838" w:h="11850" w:orient="landscape"/>
      <w:pgMar w:top="1587" w:right="2098" w:bottom="1474" w:left="1984" w:header="851" w:footer="1417" w:gutter="0"/>
      <w:pgNumType w:fmt="decimal"/>
      <w:cols w:space="0" w:num="1"/>
      <w:rtlGutter w:val="0"/>
      <w:docGrid w:type="linesAndChars" w:linePitch="312" w:charSpace="4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9"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pPr>
                  <w:pStyle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223"/>
  <w:doNotDisplayPageBoundaries w:val="true"/>
  <w:bordersDoNotSurroundHeader w:val="false"/>
  <w:bordersDoNotSurroundFooter w:val="false"/>
  <w:documentProtection w:enforcement="0"/>
  <w:defaultTabStop w:val="420"/>
  <w:drawingGridHorizontalSpacing w:val="116"/>
  <w:drawingGridVerticalSpacing w:val="156"/>
  <w:displayHorizontalDrawingGridEvery w:val="2"/>
  <w:displayVerticalDrawingGridEvery w:val="2"/>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hkZmQwY2Y5YzRlYWM0ZWRlODlhNDc2ZWI2ZDY4ZjUifQ=="/>
  </w:docVars>
  <w:rsids>
    <w:rsidRoot w:val="32053F16"/>
    <w:rsid w:val="000F7B69"/>
    <w:rsid w:val="001917B5"/>
    <w:rsid w:val="001A4B25"/>
    <w:rsid w:val="001F4DB4"/>
    <w:rsid w:val="003D436D"/>
    <w:rsid w:val="00447B36"/>
    <w:rsid w:val="00553834"/>
    <w:rsid w:val="00562805"/>
    <w:rsid w:val="006615FD"/>
    <w:rsid w:val="009E6FC4"/>
    <w:rsid w:val="00AA6BBD"/>
    <w:rsid w:val="00C716A5"/>
    <w:rsid w:val="00E16CC8"/>
    <w:rsid w:val="00EA065F"/>
    <w:rsid w:val="00F77DA3"/>
    <w:rsid w:val="02B355ED"/>
    <w:rsid w:val="06A27D47"/>
    <w:rsid w:val="1342010A"/>
    <w:rsid w:val="16D9F281"/>
    <w:rsid w:val="18EF81C5"/>
    <w:rsid w:val="1B5EC4F0"/>
    <w:rsid w:val="1FB7BDAD"/>
    <w:rsid w:val="24E475FA"/>
    <w:rsid w:val="25781E3E"/>
    <w:rsid w:val="2BDDE749"/>
    <w:rsid w:val="2C83526D"/>
    <w:rsid w:val="2EDE313D"/>
    <w:rsid w:val="2F29BB74"/>
    <w:rsid w:val="2FA96CF6"/>
    <w:rsid w:val="2FDD1DFB"/>
    <w:rsid w:val="317BC23E"/>
    <w:rsid w:val="32053F16"/>
    <w:rsid w:val="33791375"/>
    <w:rsid w:val="34ADC0E8"/>
    <w:rsid w:val="366391C2"/>
    <w:rsid w:val="36DE35FD"/>
    <w:rsid w:val="37EF4864"/>
    <w:rsid w:val="3A4A4EEC"/>
    <w:rsid w:val="3A5DE403"/>
    <w:rsid w:val="3AFF3C3E"/>
    <w:rsid w:val="3BDEB868"/>
    <w:rsid w:val="3BF76990"/>
    <w:rsid w:val="3C7FDFA4"/>
    <w:rsid w:val="3CA52FDE"/>
    <w:rsid w:val="3DCFD1F9"/>
    <w:rsid w:val="3DFFE23A"/>
    <w:rsid w:val="3F6F56F9"/>
    <w:rsid w:val="3F7F2B6F"/>
    <w:rsid w:val="3F876C5C"/>
    <w:rsid w:val="3F9E3C40"/>
    <w:rsid w:val="3FCD7519"/>
    <w:rsid w:val="3FE7CC13"/>
    <w:rsid w:val="3FEC3A98"/>
    <w:rsid w:val="3FFB8EFD"/>
    <w:rsid w:val="3FFEFD9B"/>
    <w:rsid w:val="49047C38"/>
    <w:rsid w:val="49A8554E"/>
    <w:rsid w:val="4C9F6651"/>
    <w:rsid w:val="4DB809B9"/>
    <w:rsid w:val="4FFB9F64"/>
    <w:rsid w:val="525F1E44"/>
    <w:rsid w:val="53F9A8CD"/>
    <w:rsid w:val="53FEC6BA"/>
    <w:rsid w:val="53FF7F43"/>
    <w:rsid w:val="54BF8733"/>
    <w:rsid w:val="554D0867"/>
    <w:rsid w:val="57EF0708"/>
    <w:rsid w:val="57FEB7AD"/>
    <w:rsid w:val="57FF032A"/>
    <w:rsid w:val="5ADD44CD"/>
    <w:rsid w:val="5B979740"/>
    <w:rsid w:val="5BED5C49"/>
    <w:rsid w:val="5CF6AFB3"/>
    <w:rsid w:val="5DCE9581"/>
    <w:rsid w:val="5DDF6B3D"/>
    <w:rsid w:val="5DFB3C75"/>
    <w:rsid w:val="5E0B6D82"/>
    <w:rsid w:val="5F3B046E"/>
    <w:rsid w:val="5F3CDCAD"/>
    <w:rsid w:val="5F5F8E98"/>
    <w:rsid w:val="5FB7144D"/>
    <w:rsid w:val="5FBB510D"/>
    <w:rsid w:val="5FBBA3F8"/>
    <w:rsid w:val="5FF53FFC"/>
    <w:rsid w:val="5FFD14B8"/>
    <w:rsid w:val="5FFF4ED1"/>
    <w:rsid w:val="5FFF675B"/>
    <w:rsid w:val="5FFFC715"/>
    <w:rsid w:val="60165D20"/>
    <w:rsid w:val="66ED049B"/>
    <w:rsid w:val="673F23AE"/>
    <w:rsid w:val="67DC5D00"/>
    <w:rsid w:val="67F3AAF4"/>
    <w:rsid w:val="69FD21BF"/>
    <w:rsid w:val="6B7FEEEF"/>
    <w:rsid w:val="6CDF6D03"/>
    <w:rsid w:val="6CFD6FB7"/>
    <w:rsid w:val="6D99C3D5"/>
    <w:rsid w:val="6DCE1FAB"/>
    <w:rsid w:val="6DDF5932"/>
    <w:rsid w:val="6F3FC15E"/>
    <w:rsid w:val="6F87C732"/>
    <w:rsid w:val="6FEE93CB"/>
    <w:rsid w:val="6FF2C93E"/>
    <w:rsid w:val="6FFFA800"/>
    <w:rsid w:val="7262CF3A"/>
    <w:rsid w:val="734FD3A0"/>
    <w:rsid w:val="7377FEEF"/>
    <w:rsid w:val="73FBF8C6"/>
    <w:rsid w:val="740F4A85"/>
    <w:rsid w:val="74B5C8A9"/>
    <w:rsid w:val="74BD654E"/>
    <w:rsid w:val="75BEF9EC"/>
    <w:rsid w:val="75FF7164"/>
    <w:rsid w:val="75FFAAC2"/>
    <w:rsid w:val="763F5E5E"/>
    <w:rsid w:val="7699DB33"/>
    <w:rsid w:val="7773C8B8"/>
    <w:rsid w:val="77F5454A"/>
    <w:rsid w:val="77F91871"/>
    <w:rsid w:val="77FDBEEB"/>
    <w:rsid w:val="78DF0C24"/>
    <w:rsid w:val="79A6206C"/>
    <w:rsid w:val="79FFEAA1"/>
    <w:rsid w:val="7AAFCCDD"/>
    <w:rsid w:val="7BAF76C0"/>
    <w:rsid w:val="7BDE87BF"/>
    <w:rsid w:val="7BDECDD0"/>
    <w:rsid w:val="7BE74699"/>
    <w:rsid w:val="7BF70248"/>
    <w:rsid w:val="7BFF873A"/>
    <w:rsid w:val="7C7CED64"/>
    <w:rsid w:val="7DBD6EC2"/>
    <w:rsid w:val="7DD68E6A"/>
    <w:rsid w:val="7DDFED64"/>
    <w:rsid w:val="7DF5FF61"/>
    <w:rsid w:val="7DFD16D4"/>
    <w:rsid w:val="7DFE1132"/>
    <w:rsid w:val="7DFF7588"/>
    <w:rsid w:val="7E3EC9F5"/>
    <w:rsid w:val="7E6FF1A7"/>
    <w:rsid w:val="7EAD1586"/>
    <w:rsid w:val="7EDA8B49"/>
    <w:rsid w:val="7EEF53BA"/>
    <w:rsid w:val="7EF76969"/>
    <w:rsid w:val="7EF7DE51"/>
    <w:rsid w:val="7EFB41FF"/>
    <w:rsid w:val="7EFF8C3B"/>
    <w:rsid w:val="7F581D86"/>
    <w:rsid w:val="7F7EEFEF"/>
    <w:rsid w:val="7FB67F88"/>
    <w:rsid w:val="7FB92188"/>
    <w:rsid w:val="7FCDC1F6"/>
    <w:rsid w:val="7FCF1C1C"/>
    <w:rsid w:val="7FDB089F"/>
    <w:rsid w:val="7FDED80A"/>
    <w:rsid w:val="7FDF4CD8"/>
    <w:rsid w:val="7FE7DFFB"/>
    <w:rsid w:val="7FFA1420"/>
    <w:rsid w:val="7FFA9A92"/>
    <w:rsid w:val="7FFAD67A"/>
    <w:rsid w:val="7FFF0C29"/>
    <w:rsid w:val="7FFF8E40"/>
    <w:rsid w:val="7FFFC390"/>
    <w:rsid w:val="8BDDC55F"/>
    <w:rsid w:val="8D5D9E90"/>
    <w:rsid w:val="91E5AC63"/>
    <w:rsid w:val="96DB68CE"/>
    <w:rsid w:val="9BCC75A8"/>
    <w:rsid w:val="9CF363A4"/>
    <w:rsid w:val="9DEE7812"/>
    <w:rsid w:val="9FAB9821"/>
    <w:rsid w:val="9FDBB6C0"/>
    <w:rsid w:val="A5FDE500"/>
    <w:rsid w:val="AEE31489"/>
    <w:rsid w:val="AEFFEDC0"/>
    <w:rsid w:val="AF4B8F6F"/>
    <w:rsid w:val="AFFBDB89"/>
    <w:rsid w:val="B5F6EBEE"/>
    <w:rsid w:val="B6F49E87"/>
    <w:rsid w:val="B7678B7D"/>
    <w:rsid w:val="B97BA58A"/>
    <w:rsid w:val="B9D705DF"/>
    <w:rsid w:val="B9F9C907"/>
    <w:rsid w:val="BBF164C6"/>
    <w:rsid w:val="BC931A57"/>
    <w:rsid w:val="BD5B0937"/>
    <w:rsid w:val="BDAF0F4B"/>
    <w:rsid w:val="BDFF7348"/>
    <w:rsid w:val="BEFF58F2"/>
    <w:rsid w:val="BFAF0970"/>
    <w:rsid w:val="BFBD92E2"/>
    <w:rsid w:val="BFFDF0CD"/>
    <w:rsid w:val="BFFFBB44"/>
    <w:rsid w:val="CFED314C"/>
    <w:rsid w:val="D7AEAEA5"/>
    <w:rsid w:val="D7BEEC9B"/>
    <w:rsid w:val="D7FF4450"/>
    <w:rsid w:val="D7FFFA23"/>
    <w:rsid w:val="DADFA4A3"/>
    <w:rsid w:val="DF282D21"/>
    <w:rsid w:val="DFBFE6DA"/>
    <w:rsid w:val="DFF607B1"/>
    <w:rsid w:val="DFF7874C"/>
    <w:rsid w:val="E6AACF0D"/>
    <w:rsid w:val="E7FB93F7"/>
    <w:rsid w:val="E7FF7BAE"/>
    <w:rsid w:val="E7FFA730"/>
    <w:rsid w:val="E9BB28E8"/>
    <w:rsid w:val="E9CB4FE2"/>
    <w:rsid w:val="E9FFCBF6"/>
    <w:rsid w:val="EA4FA99D"/>
    <w:rsid w:val="EACDC9A1"/>
    <w:rsid w:val="EB7D5D35"/>
    <w:rsid w:val="EBB6C350"/>
    <w:rsid w:val="EBDB18FA"/>
    <w:rsid w:val="EBEDEEE5"/>
    <w:rsid w:val="EC7F7B36"/>
    <w:rsid w:val="EDBF6426"/>
    <w:rsid w:val="EDD8B250"/>
    <w:rsid w:val="EEE9376F"/>
    <w:rsid w:val="EEFF3002"/>
    <w:rsid w:val="EF6BFA4B"/>
    <w:rsid w:val="EFBF8F6F"/>
    <w:rsid w:val="EFDF6D76"/>
    <w:rsid w:val="EFE77BB3"/>
    <w:rsid w:val="EFF57B5B"/>
    <w:rsid w:val="EFFEC9DB"/>
    <w:rsid w:val="F253CA1D"/>
    <w:rsid w:val="F35BE416"/>
    <w:rsid w:val="F37F6EEC"/>
    <w:rsid w:val="F3FF26AB"/>
    <w:rsid w:val="F5915F17"/>
    <w:rsid w:val="F6AEDFC4"/>
    <w:rsid w:val="F6FD967D"/>
    <w:rsid w:val="F77B37D4"/>
    <w:rsid w:val="F77B86DC"/>
    <w:rsid w:val="F79F8EBB"/>
    <w:rsid w:val="F7AE53EE"/>
    <w:rsid w:val="F7FADBBA"/>
    <w:rsid w:val="F7FFD371"/>
    <w:rsid w:val="F8CFDD67"/>
    <w:rsid w:val="F9BE0DED"/>
    <w:rsid w:val="FABEB337"/>
    <w:rsid w:val="FABF0E0C"/>
    <w:rsid w:val="FAFB4419"/>
    <w:rsid w:val="FAFCDC78"/>
    <w:rsid w:val="FB7BB2DB"/>
    <w:rsid w:val="FBF79919"/>
    <w:rsid w:val="FBFB861B"/>
    <w:rsid w:val="FBFD926D"/>
    <w:rsid w:val="FC3F8061"/>
    <w:rsid w:val="FCE75C61"/>
    <w:rsid w:val="FCF962A1"/>
    <w:rsid w:val="FD576252"/>
    <w:rsid w:val="FD6683D5"/>
    <w:rsid w:val="FD87634A"/>
    <w:rsid w:val="FDE58B8F"/>
    <w:rsid w:val="FDF1A846"/>
    <w:rsid w:val="FEBFEA47"/>
    <w:rsid w:val="FEDF9E07"/>
    <w:rsid w:val="FEEA7208"/>
    <w:rsid w:val="FEFB53B5"/>
    <w:rsid w:val="FF2FB069"/>
    <w:rsid w:val="FF7F47CF"/>
    <w:rsid w:val="FF7F9394"/>
    <w:rsid w:val="FF9E79F0"/>
    <w:rsid w:val="FFBB7D20"/>
    <w:rsid w:val="FFBD609B"/>
    <w:rsid w:val="FFD75F86"/>
    <w:rsid w:val="FFDC9344"/>
    <w:rsid w:val="FFEEEDBE"/>
    <w:rsid w:val="FFF5815C"/>
    <w:rsid w:val="FFFE1C4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semiHidden/>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563C1"/>
      <w:u w:val="single"/>
    </w:rPr>
  </w:style>
  <w:style w:type="paragraph" w:customStyle="1" w:styleId="8">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
    <w:name w:val="font31"/>
    <w:basedOn w:val="6"/>
    <w:qFormat/>
    <w:uiPriority w:val="0"/>
    <w:rPr>
      <w:rFonts w:hint="default" w:ascii="Calibri" w:hAnsi="Calibri" w:cs="Calibri"/>
      <w:b/>
      <w:color w:val="000000"/>
      <w:sz w:val="44"/>
      <w:szCs w:val="44"/>
      <w:u w:val="none"/>
    </w:rPr>
  </w:style>
  <w:style w:type="character" w:customStyle="1" w:styleId="10">
    <w:name w:val="font01"/>
    <w:basedOn w:val="6"/>
    <w:qFormat/>
    <w:uiPriority w:val="0"/>
    <w:rPr>
      <w:rFonts w:ascii="方正书宋_GBK" w:hAnsi="方正书宋_GBK" w:eastAsia="方正书宋_GBK" w:cs="方正书宋_GBK"/>
      <w:b/>
      <w:color w:val="000000"/>
      <w:sz w:val="44"/>
      <w:szCs w:val="4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9" textRotate="1"/>
    <customShpInfo spid="_x0000_s409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8</Pages>
  <Words>621</Words>
  <Characters>3542</Characters>
  <Lines>29</Lines>
  <Paragraphs>8</Paragraphs>
  <TotalTime>23</TotalTime>
  <ScaleCrop>false</ScaleCrop>
  <LinksUpToDate>false</LinksUpToDate>
  <CharactersWithSpaces>4155</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2024-02-11T07:33:00Z</dcterms:created>
  <dc:creator>Administrator</dc:creator>
  <cp:lastModifiedBy>user</cp:lastModifiedBy>
  <cp:lastPrinted>2025-03-19T01:19:00Z</cp:lastPrinted>
  <dcterms:modified xsi:type="dcterms:W3CDTF">2026-06-09T10:54:46Z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CD680D45C8E848B484DC52F6CFE3A60A</vt:lpwstr>
  </property>
</Properties>
</file>